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1B" w:rsidRDefault="004D551B" w:rsidP="004D551B">
      <w:pPr>
        <w:pStyle w:val="Cmsor1"/>
        <w:spacing w:after="120" w:line="240" w:lineRule="auto"/>
        <w:ind w:left="0"/>
        <w:jc w:val="center"/>
        <w:rPr>
          <w:sz w:val="40"/>
          <w:szCs w:val="40"/>
        </w:rPr>
      </w:pPr>
      <w:r w:rsidRPr="004D551B">
        <w:rPr>
          <w:sz w:val="40"/>
          <w:szCs w:val="40"/>
        </w:rPr>
        <w:t>Tűzvédelmi oktatási tematika</w:t>
      </w:r>
    </w:p>
    <w:tbl>
      <w:tblPr>
        <w:tblStyle w:val="Rcsostblzat"/>
        <w:tblW w:w="0" w:type="auto"/>
        <w:tblLook w:val="04A0" w:firstRow="1" w:lastRow="0" w:firstColumn="1" w:lastColumn="0" w:noHBand="0" w:noVBand="1"/>
      </w:tblPr>
      <w:tblGrid>
        <w:gridCol w:w="4533"/>
        <w:gridCol w:w="4533"/>
      </w:tblGrid>
      <w:tr w:rsidR="00BB6743" w:rsidTr="00BB6743">
        <w:tc>
          <w:tcPr>
            <w:tcW w:w="4533" w:type="dxa"/>
          </w:tcPr>
          <w:p w:rsidR="00BB6743" w:rsidRPr="00411F63" w:rsidRDefault="00BB6743" w:rsidP="00BB6743">
            <w:pPr>
              <w:shd w:val="clear" w:color="auto" w:fill="FFFFFF"/>
              <w:spacing w:after="120" w:line="240" w:lineRule="auto"/>
              <w:ind w:left="0" w:firstLine="0"/>
              <w:jc w:val="center"/>
              <w:rPr>
                <w:color w:val="000000" w:themeColor="text1"/>
                <w:szCs w:val="24"/>
              </w:rPr>
            </w:pPr>
            <w:r>
              <w:rPr>
                <w:color w:val="000000" w:themeColor="text1"/>
                <w:szCs w:val="24"/>
              </w:rPr>
              <w:t>Létesítmény, t</w:t>
            </w:r>
            <w:r w:rsidRPr="00411F63">
              <w:rPr>
                <w:color w:val="000000" w:themeColor="text1"/>
                <w:szCs w:val="24"/>
              </w:rPr>
              <w:t>elephely</w:t>
            </w:r>
            <w:r>
              <w:rPr>
                <w:color w:val="000000" w:themeColor="text1"/>
                <w:szCs w:val="24"/>
              </w:rPr>
              <w:t xml:space="preserve"> neve, címe:</w:t>
            </w:r>
          </w:p>
          <w:p w:rsidR="00BB6743" w:rsidRDefault="00BB6743" w:rsidP="00BB6743">
            <w:pPr>
              <w:spacing w:after="120" w:line="240" w:lineRule="auto"/>
              <w:ind w:left="0" w:firstLine="0"/>
              <w:jc w:val="center"/>
              <w:rPr>
                <w:color w:val="000000" w:themeColor="text1"/>
                <w:szCs w:val="24"/>
              </w:rPr>
            </w:pPr>
          </w:p>
        </w:tc>
        <w:tc>
          <w:tcPr>
            <w:tcW w:w="4533" w:type="dxa"/>
          </w:tcPr>
          <w:p w:rsidR="00BB6743" w:rsidRDefault="009522E6" w:rsidP="00BB6743">
            <w:pPr>
              <w:shd w:val="clear" w:color="auto" w:fill="FFFFFF"/>
              <w:spacing w:after="120" w:line="240" w:lineRule="auto"/>
              <w:ind w:left="0" w:firstLine="0"/>
              <w:jc w:val="center"/>
              <w:rPr>
                <w:b/>
                <w:color w:val="000000" w:themeColor="text1"/>
                <w:szCs w:val="24"/>
              </w:rPr>
            </w:pPr>
            <w:r w:rsidRPr="009522E6">
              <w:rPr>
                <w:b/>
                <w:color w:val="000000" w:themeColor="text1"/>
                <w:szCs w:val="24"/>
              </w:rPr>
              <w:t>GYŐRI SZAKKÉPZÉSI CENTRUM</w:t>
            </w:r>
          </w:p>
          <w:p w:rsidR="009522E6" w:rsidRPr="00BB6743" w:rsidRDefault="009522E6" w:rsidP="00BB6743">
            <w:pPr>
              <w:shd w:val="clear" w:color="auto" w:fill="FFFFFF"/>
              <w:spacing w:after="120" w:line="240" w:lineRule="auto"/>
              <w:ind w:left="0" w:firstLine="0"/>
              <w:jc w:val="center"/>
              <w:rPr>
                <w:b/>
                <w:color w:val="000000" w:themeColor="text1"/>
                <w:szCs w:val="24"/>
              </w:rPr>
            </w:pPr>
            <w:r>
              <w:rPr>
                <w:b/>
                <w:color w:val="000000" w:themeColor="text1"/>
                <w:szCs w:val="24"/>
              </w:rPr>
              <w:t>Intézményeire vonatkozó</w:t>
            </w:r>
          </w:p>
        </w:tc>
      </w:tr>
      <w:tr w:rsidR="00BB6743" w:rsidTr="00BB6743">
        <w:tc>
          <w:tcPr>
            <w:tcW w:w="4533" w:type="dxa"/>
          </w:tcPr>
          <w:p w:rsidR="00BB6743" w:rsidRPr="00CB0F73" w:rsidRDefault="00BB6743" w:rsidP="00BB6743">
            <w:pPr>
              <w:shd w:val="clear" w:color="auto" w:fill="FFFFFF"/>
              <w:spacing w:after="120" w:line="240" w:lineRule="auto"/>
              <w:ind w:left="0" w:firstLine="0"/>
              <w:jc w:val="center"/>
              <w:rPr>
                <w:color w:val="000000" w:themeColor="text1"/>
                <w:szCs w:val="24"/>
              </w:rPr>
            </w:pPr>
            <w:r>
              <w:rPr>
                <w:color w:val="000000" w:themeColor="text1"/>
                <w:szCs w:val="24"/>
              </w:rPr>
              <w:t>Létesítmény fenntartója, üzemeltetője</w:t>
            </w:r>
          </w:p>
          <w:p w:rsidR="00BB6743" w:rsidRDefault="00BB6743" w:rsidP="00BB6743">
            <w:pPr>
              <w:spacing w:after="120" w:line="240" w:lineRule="auto"/>
              <w:ind w:left="0" w:firstLine="0"/>
              <w:jc w:val="center"/>
              <w:rPr>
                <w:color w:val="000000" w:themeColor="text1"/>
                <w:szCs w:val="24"/>
              </w:rPr>
            </w:pPr>
          </w:p>
        </w:tc>
        <w:tc>
          <w:tcPr>
            <w:tcW w:w="4533" w:type="dxa"/>
          </w:tcPr>
          <w:p w:rsidR="009522E6" w:rsidRDefault="009522E6" w:rsidP="00BB6743">
            <w:pPr>
              <w:spacing w:after="120" w:line="240" w:lineRule="auto"/>
              <w:ind w:left="0" w:firstLine="0"/>
              <w:jc w:val="center"/>
              <w:rPr>
                <w:b/>
                <w:color w:val="000000" w:themeColor="text1"/>
                <w:szCs w:val="24"/>
              </w:rPr>
            </w:pPr>
            <w:r w:rsidRPr="009522E6">
              <w:rPr>
                <w:b/>
                <w:color w:val="000000" w:themeColor="text1"/>
                <w:szCs w:val="24"/>
              </w:rPr>
              <w:t>GYŐRI SZAKKÉPZÉSI CENTRUM</w:t>
            </w:r>
          </w:p>
          <w:p w:rsidR="00BB6743" w:rsidRDefault="009522E6" w:rsidP="009522E6">
            <w:pPr>
              <w:spacing w:after="120" w:line="240" w:lineRule="auto"/>
              <w:ind w:left="0" w:firstLine="0"/>
              <w:jc w:val="center"/>
              <w:rPr>
                <w:color w:val="000000" w:themeColor="text1"/>
                <w:szCs w:val="24"/>
              </w:rPr>
            </w:pPr>
            <w:r w:rsidRPr="009522E6">
              <w:rPr>
                <w:color w:val="000000" w:themeColor="text1"/>
                <w:szCs w:val="24"/>
              </w:rPr>
              <w:t>9024</w:t>
            </w:r>
            <w:r>
              <w:rPr>
                <w:color w:val="000000" w:themeColor="text1"/>
                <w:szCs w:val="24"/>
              </w:rPr>
              <w:t xml:space="preserve"> </w:t>
            </w:r>
            <w:r w:rsidRPr="009522E6">
              <w:rPr>
                <w:color w:val="000000" w:themeColor="text1"/>
                <w:szCs w:val="24"/>
              </w:rPr>
              <w:t xml:space="preserve">Győr, Nádor tér 4, </w:t>
            </w:r>
          </w:p>
        </w:tc>
      </w:tr>
      <w:tr w:rsidR="00BB6743" w:rsidTr="00BB6743">
        <w:tc>
          <w:tcPr>
            <w:tcW w:w="4533" w:type="dxa"/>
          </w:tcPr>
          <w:p w:rsidR="00BB6743" w:rsidRDefault="00BB6743" w:rsidP="00BB6743">
            <w:pPr>
              <w:spacing w:after="120" w:line="240" w:lineRule="auto"/>
              <w:ind w:left="0" w:firstLine="0"/>
              <w:jc w:val="center"/>
              <w:rPr>
                <w:color w:val="000000" w:themeColor="text1"/>
                <w:szCs w:val="24"/>
              </w:rPr>
            </w:pPr>
            <w:r w:rsidRPr="00CB0F73">
              <w:rPr>
                <w:color w:val="000000" w:themeColor="text1"/>
                <w:szCs w:val="24"/>
              </w:rPr>
              <w:t>Adószám</w:t>
            </w:r>
          </w:p>
        </w:tc>
        <w:tc>
          <w:tcPr>
            <w:tcW w:w="4533" w:type="dxa"/>
          </w:tcPr>
          <w:p w:rsidR="00BB6743" w:rsidRDefault="009522E6" w:rsidP="00BB6743">
            <w:pPr>
              <w:shd w:val="clear" w:color="auto" w:fill="FFFFFF"/>
              <w:spacing w:after="120" w:line="240" w:lineRule="auto"/>
              <w:ind w:left="0" w:firstLine="0"/>
              <w:jc w:val="center"/>
              <w:rPr>
                <w:color w:val="000000" w:themeColor="text1"/>
                <w:szCs w:val="24"/>
              </w:rPr>
            </w:pPr>
            <w:r w:rsidRPr="009522E6">
              <w:rPr>
                <w:color w:val="000000" w:themeColor="text1"/>
                <w:szCs w:val="24"/>
              </w:rPr>
              <w:t>15831952208</w:t>
            </w:r>
          </w:p>
        </w:tc>
      </w:tr>
      <w:tr w:rsidR="00167445" w:rsidTr="00BB6743">
        <w:tc>
          <w:tcPr>
            <w:tcW w:w="4533" w:type="dxa"/>
          </w:tcPr>
          <w:p w:rsidR="00167445" w:rsidRPr="00CB0F73" w:rsidRDefault="00167445" w:rsidP="00BB6743">
            <w:pPr>
              <w:spacing w:after="120" w:line="240" w:lineRule="auto"/>
              <w:ind w:left="0" w:firstLine="0"/>
              <w:jc w:val="center"/>
              <w:rPr>
                <w:color w:val="000000" w:themeColor="text1"/>
                <w:szCs w:val="24"/>
              </w:rPr>
            </w:pPr>
            <w:r>
              <w:rPr>
                <w:color w:val="000000" w:themeColor="text1"/>
                <w:szCs w:val="24"/>
              </w:rPr>
              <w:t>Oktatási Tematikát készítette:</w:t>
            </w:r>
          </w:p>
        </w:tc>
        <w:tc>
          <w:tcPr>
            <w:tcW w:w="4533" w:type="dxa"/>
          </w:tcPr>
          <w:p w:rsidR="00167445" w:rsidRPr="009522E6" w:rsidRDefault="00167445" w:rsidP="00BB6743">
            <w:pPr>
              <w:shd w:val="clear" w:color="auto" w:fill="FFFFFF"/>
              <w:spacing w:after="120" w:line="240" w:lineRule="auto"/>
              <w:ind w:left="0" w:firstLine="0"/>
              <w:jc w:val="center"/>
              <w:rPr>
                <w:color w:val="000000" w:themeColor="text1"/>
                <w:szCs w:val="24"/>
              </w:rPr>
            </w:pPr>
            <w:r w:rsidRPr="00167445">
              <w:rPr>
                <w:color w:val="000000" w:themeColor="text1"/>
                <w:szCs w:val="24"/>
              </w:rPr>
              <w:t>Dr. Nagy Zsolt</w:t>
            </w:r>
          </w:p>
        </w:tc>
      </w:tr>
      <w:tr w:rsidR="00167445" w:rsidTr="00BB6743">
        <w:tc>
          <w:tcPr>
            <w:tcW w:w="4533" w:type="dxa"/>
          </w:tcPr>
          <w:p w:rsidR="00167445" w:rsidRPr="00167445" w:rsidRDefault="00167445" w:rsidP="00167445">
            <w:pPr>
              <w:spacing w:after="120" w:line="240" w:lineRule="auto"/>
              <w:ind w:left="0" w:firstLine="0"/>
              <w:jc w:val="center"/>
              <w:rPr>
                <w:color w:val="000000" w:themeColor="text1"/>
                <w:szCs w:val="24"/>
              </w:rPr>
            </w:pPr>
            <w:r w:rsidRPr="00167445">
              <w:rPr>
                <w:color w:val="000000" w:themeColor="text1"/>
                <w:szCs w:val="24"/>
              </w:rPr>
              <w:t xml:space="preserve">Tűzvédelmi képzettséget igazoló irat száma: </w:t>
            </w:r>
          </w:p>
          <w:p w:rsidR="00167445" w:rsidRDefault="00167445" w:rsidP="00167445">
            <w:pPr>
              <w:spacing w:after="120" w:line="240" w:lineRule="auto"/>
              <w:ind w:left="0" w:firstLine="0"/>
              <w:jc w:val="center"/>
              <w:rPr>
                <w:color w:val="000000" w:themeColor="text1"/>
                <w:szCs w:val="24"/>
              </w:rPr>
            </w:pPr>
          </w:p>
        </w:tc>
        <w:tc>
          <w:tcPr>
            <w:tcW w:w="4533" w:type="dxa"/>
          </w:tcPr>
          <w:p w:rsidR="00167445" w:rsidRPr="00167445" w:rsidRDefault="00167445" w:rsidP="00167445">
            <w:pPr>
              <w:spacing w:after="120" w:line="240" w:lineRule="auto"/>
              <w:ind w:left="0" w:firstLine="0"/>
              <w:jc w:val="center"/>
              <w:rPr>
                <w:color w:val="000000" w:themeColor="text1"/>
                <w:szCs w:val="24"/>
              </w:rPr>
            </w:pPr>
            <w:r w:rsidRPr="00167445">
              <w:rPr>
                <w:color w:val="000000" w:themeColor="text1"/>
                <w:szCs w:val="24"/>
              </w:rPr>
              <w:t>BMKOK 2011, okl. sz.: 428/III/11 Sorszám: 252241</w:t>
            </w:r>
          </w:p>
        </w:tc>
      </w:tr>
    </w:tbl>
    <w:p w:rsidR="00C3696D" w:rsidRPr="00411F63" w:rsidRDefault="00F9617E" w:rsidP="00411F63">
      <w:pPr>
        <w:pStyle w:val="Cmsor2"/>
        <w:tabs>
          <w:tab w:val="center" w:pos="2646"/>
        </w:tabs>
        <w:spacing w:after="120" w:line="240" w:lineRule="auto"/>
        <w:ind w:left="-15" w:firstLine="0"/>
        <w:rPr>
          <w:szCs w:val="24"/>
        </w:rPr>
      </w:pPr>
      <w:r w:rsidRPr="00411F63">
        <w:rPr>
          <w:szCs w:val="24"/>
        </w:rPr>
        <w:t xml:space="preserve">I. </w:t>
      </w:r>
      <w:r w:rsidRPr="00411F63">
        <w:rPr>
          <w:szCs w:val="24"/>
        </w:rPr>
        <w:tab/>
        <w:t xml:space="preserve">Tűzvédelemmel kapcsolatos fogalmak </w:t>
      </w:r>
    </w:p>
    <w:p w:rsidR="00C3696D" w:rsidRPr="00411F63" w:rsidRDefault="005C303B" w:rsidP="00411F63">
      <w:pPr>
        <w:spacing w:after="120" w:line="240" w:lineRule="auto"/>
        <w:ind w:left="0" w:firstLine="0"/>
        <w:jc w:val="both"/>
        <w:rPr>
          <w:szCs w:val="24"/>
        </w:rPr>
      </w:pPr>
      <w:proofErr w:type="gramStart"/>
      <w:r w:rsidRPr="00411F63">
        <w:rPr>
          <w:szCs w:val="24"/>
        </w:rPr>
        <w:t>a</w:t>
      </w:r>
      <w:proofErr w:type="gramEnd"/>
      <w:r w:rsidRPr="00411F63">
        <w:rPr>
          <w:szCs w:val="24"/>
        </w:rPr>
        <w:t xml:space="preserve">.) </w:t>
      </w:r>
      <w:r w:rsidR="00F9617E" w:rsidRPr="00411F63">
        <w:rPr>
          <w:szCs w:val="24"/>
        </w:rPr>
        <w:t>Tűzvédelem: a tűzesetek megelőzése, a tűzoltási feladatok ellátása, a tűzvizsgálat,</w:t>
      </w:r>
      <w:r w:rsidR="00F9617E" w:rsidRPr="00411F63">
        <w:rPr>
          <w:szCs w:val="24"/>
          <w:u w:val="single"/>
        </w:rPr>
        <w:t xml:space="preserve"> </w:t>
      </w:r>
      <w:r w:rsidR="00F9617E" w:rsidRPr="00411F63">
        <w:rPr>
          <w:szCs w:val="24"/>
        </w:rPr>
        <w:t xml:space="preserve">valamint ezek feltételeinek a biztosítását jelenti. </w:t>
      </w:r>
    </w:p>
    <w:p w:rsidR="00C3696D" w:rsidRPr="00411F63" w:rsidRDefault="005C303B" w:rsidP="00411F63">
      <w:pPr>
        <w:spacing w:after="120" w:line="240" w:lineRule="auto"/>
        <w:ind w:left="0" w:firstLine="0"/>
        <w:jc w:val="both"/>
        <w:rPr>
          <w:szCs w:val="24"/>
        </w:rPr>
      </w:pPr>
      <w:r w:rsidRPr="00411F63">
        <w:rPr>
          <w:szCs w:val="24"/>
        </w:rPr>
        <w:t>b.)</w:t>
      </w:r>
      <w:r w:rsidR="00A75CBF">
        <w:rPr>
          <w:szCs w:val="24"/>
        </w:rPr>
        <w:t xml:space="preserve"> </w:t>
      </w:r>
      <w:r w:rsidR="00F9617E" w:rsidRPr="00411F63">
        <w:rPr>
          <w:szCs w:val="24"/>
        </w:rPr>
        <w:t xml:space="preserve">Tűz: az az égési folyamat, amely veszélyt jelent az életre, a testi épségre vagy az anyagi javakra, illetve azokban károsodást okoz. </w:t>
      </w:r>
    </w:p>
    <w:p w:rsidR="00C3696D" w:rsidRPr="00411F63" w:rsidRDefault="005C303B" w:rsidP="00411F63">
      <w:pPr>
        <w:spacing w:after="120" w:line="240" w:lineRule="auto"/>
        <w:ind w:left="0" w:firstLine="0"/>
        <w:jc w:val="both"/>
        <w:rPr>
          <w:szCs w:val="24"/>
        </w:rPr>
      </w:pPr>
      <w:proofErr w:type="gramStart"/>
      <w:r w:rsidRPr="00411F63">
        <w:rPr>
          <w:szCs w:val="24"/>
        </w:rPr>
        <w:t>c.</w:t>
      </w:r>
      <w:proofErr w:type="gramEnd"/>
      <w:r w:rsidRPr="00411F63">
        <w:rPr>
          <w:szCs w:val="24"/>
        </w:rPr>
        <w:t xml:space="preserve">) </w:t>
      </w:r>
      <w:r w:rsidR="00F9617E" w:rsidRPr="00411F63">
        <w:rPr>
          <w:szCs w:val="24"/>
        </w:rPr>
        <w:t xml:space="preserve">Tűzveszélyes tevékenység: az a tevékenység, amely a környezetében lévő anyag gyulladási hőmérsékletét, lobbanáspontját meghaladó hőmérséklettel és/vagy nyílt lánggal, izzással, parázslással, szikrázással jár. </w:t>
      </w:r>
    </w:p>
    <w:p w:rsidR="00C3696D" w:rsidRPr="00411F63" w:rsidRDefault="005C303B" w:rsidP="00411F63">
      <w:pPr>
        <w:spacing w:after="120" w:line="240" w:lineRule="auto"/>
        <w:ind w:left="0" w:firstLine="0"/>
        <w:jc w:val="both"/>
        <w:rPr>
          <w:szCs w:val="24"/>
        </w:rPr>
      </w:pPr>
      <w:r w:rsidRPr="00411F63">
        <w:rPr>
          <w:szCs w:val="24"/>
        </w:rPr>
        <w:t xml:space="preserve">d.) </w:t>
      </w:r>
      <w:r w:rsidR="00F9617E" w:rsidRPr="00411F63">
        <w:rPr>
          <w:szCs w:val="24"/>
        </w:rPr>
        <w:t xml:space="preserve">Alkalomszerű tűzveszélyes tevékenység: minden tűzveszélyes technológia, ha nem az erre a célra létesített és érvényes üzemeltetési engedéllyel rendelkező munkahelyen kerül alkalmazásra. </w:t>
      </w:r>
    </w:p>
    <w:p w:rsidR="00C3696D" w:rsidRPr="00411F63" w:rsidRDefault="005C303B" w:rsidP="00411F63">
      <w:pPr>
        <w:spacing w:after="120" w:line="240" w:lineRule="auto"/>
        <w:ind w:left="0" w:firstLine="0"/>
        <w:jc w:val="both"/>
        <w:rPr>
          <w:szCs w:val="24"/>
        </w:rPr>
      </w:pPr>
      <w:proofErr w:type="gramStart"/>
      <w:r w:rsidRPr="00411F63">
        <w:rPr>
          <w:szCs w:val="24"/>
        </w:rPr>
        <w:t>e</w:t>
      </w:r>
      <w:proofErr w:type="gramEnd"/>
      <w:r w:rsidRPr="00411F63">
        <w:rPr>
          <w:szCs w:val="24"/>
        </w:rPr>
        <w:t xml:space="preserve">.) </w:t>
      </w:r>
      <w:r w:rsidR="00F9617E" w:rsidRPr="00411F63">
        <w:rPr>
          <w:szCs w:val="24"/>
        </w:rPr>
        <w:t xml:space="preserve">Tűzszakasz: az építmény, illetve szabadtér tűzvédelmi szempontból meghatározott olyan önálló egysége, amelyet a szomszédos egységektől meghatározott </w:t>
      </w:r>
      <w:proofErr w:type="spellStart"/>
      <w:r w:rsidR="00F9617E" w:rsidRPr="00411F63">
        <w:rPr>
          <w:szCs w:val="24"/>
        </w:rPr>
        <w:t>éghetőségű</w:t>
      </w:r>
      <w:proofErr w:type="spellEnd"/>
      <w:r w:rsidR="00F9617E" w:rsidRPr="00411F63">
        <w:rPr>
          <w:szCs w:val="24"/>
        </w:rPr>
        <w:t xml:space="preserve"> és tűzállósági határértékű </w:t>
      </w:r>
      <w:proofErr w:type="spellStart"/>
      <w:r w:rsidR="00F9617E" w:rsidRPr="00411F63">
        <w:rPr>
          <w:szCs w:val="24"/>
        </w:rPr>
        <w:t>tűzgátló</w:t>
      </w:r>
      <w:proofErr w:type="spellEnd"/>
      <w:r w:rsidR="00F9617E" w:rsidRPr="00411F63">
        <w:rPr>
          <w:szCs w:val="24"/>
        </w:rPr>
        <w:t xml:space="preserve"> szerkezetek, illetve a jogszabályban nemzeti szabványban előírt tűztávolságok választanak el. </w:t>
      </w:r>
    </w:p>
    <w:p w:rsidR="00C3696D" w:rsidRPr="00411F63" w:rsidRDefault="005C303B" w:rsidP="00411F63">
      <w:pPr>
        <w:spacing w:after="120" w:line="240" w:lineRule="auto"/>
        <w:ind w:left="0" w:firstLine="0"/>
        <w:jc w:val="both"/>
        <w:rPr>
          <w:szCs w:val="24"/>
        </w:rPr>
      </w:pPr>
      <w:proofErr w:type="gramStart"/>
      <w:r w:rsidRPr="00411F63">
        <w:rPr>
          <w:szCs w:val="24"/>
        </w:rPr>
        <w:t>f</w:t>
      </w:r>
      <w:proofErr w:type="gramEnd"/>
      <w:r w:rsidRPr="00411F63">
        <w:rPr>
          <w:szCs w:val="24"/>
        </w:rPr>
        <w:t xml:space="preserve">.) </w:t>
      </w:r>
      <w:r w:rsidR="00F9617E" w:rsidRPr="00411F63">
        <w:rPr>
          <w:szCs w:val="24"/>
        </w:rPr>
        <w:t xml:space="preserve">Tűzszakaszok kialakításával, a keletkező tűz nem tud korlátok nélkül kiterjedni az egész épületre, a tűzszakasz határán lévő </w:t>
      </w:r>
      <w:proofErr w:type="spellStart"/>
      <w:r w:rsidR="00F9617E" w:rsidRPr="00411F63">
        <w:rPr>
          <w:szCs w:val="24"/>
        </w:rPr>
        <w:t>tűzgátló</w:t>
      </w:r>
      <w:proofErr w:type="spellEnd"/>
      <w:r w:rsidR="00F9617E" w:rsidRPr="00411F63">
        <w:rPr>
          <w:szCs w:val="24"/>
        </w:rPr>
        <w:t xml:space="preserve"> szerkezet (fal, födém) megállítja a tüzet, védi az épületrészt. </w:t>
      </w:r>
    </w:p>
    <w:p w:rsidR="00C3696D" w:rsidRPr="00411F63" w:rsidRDefault="005C303B" w:rsidP="00411F63">
      <w:pPr>
        <w:spacing w:after="120" w:line="240" w:lineRule="auto"/>
        <w:ind w:left="0" w:firstLine="0"/>
        <w:rPr>
          <w:szCs w:val="24"/>
        </w:rPr>
      </w:pPr>
      <w:proofErr w:type="gramStart"/>
      <w:r w:rsidRPr="00411F63">
        <w:rPr>
          <w:szCs w:val="24"/>
        </w:rPr>
        <w:t>g</w:t>
      </w:r>
      <w:proofErr w:type="gramEnd"/>
      <w:r w:rsidRPr="00411F63">
        <w:rPr>
          <w:szCs w:val="24"/>
        </w:rPr>
        <w:t xml:space="preserve">.) </w:t>
      </w:r>
      <w:r w:rsidR="00F9617E" w:rsidRPr="00411F63">
        <w:rPr>
          <w:szCs w:val="24"/>
        </w:rPr>
        <w:t xml:space="preserve">Tűzveszélyességi osztályok: </w:t>
      </w:r>
    </w:p>
    <w:p w:rsidR="005C303B" w:rsidRPr="00411F63" w:rsidRDefault="005C303B" w:rsidP="00411F63">
      <w:pPr>
        <w:spacing w:after="120" w:line="240" w:lineRule="auto"/>
        <w:ind w:left="-5"/>
        <w:jc w:val="both"/>
        <w:rPr>
          <w:szCs w:val="24"/>
        </w:rPr>
      </w:pPr>
      <w:r w:rsidRPr="00411F63">
        <w:rPr>
          <w:szCs w:val="24"/>
        </w:rPr>
        <w:t>A tűz</w:t>
      </w:r>
      <w:r w:rsidR="008F0D29">
        <w:rPr>
          <w:szCs w:val="24"/>
        </w:rPr>
        <w:t xml:space="preserve">veszélyességi osztályba sorolás előírásait </w:t>
      </w:r>
      <w:r w:rsidRPr="00411F63">
        <w:rPr>
          <w:szCs w:val="24"/>
        </w:rPr>
        <w:t xml:space="preserve">az Országos Tűzvédelmi Szabályzatban (OTSZ) </w:t>
      </w:r>
      <w:r w:rsidR="008F0D29">
        <w:rPr>
          <w:szCs w:val="24"/>
        </w:rPr>
        <w:t>kerültek meghatározásra</w:t>
      </w:r>
      <w:r w:rsidRPr="00411F63">
        <w:rPr>
          <w:szCs w:val="24"/>
        </w:rPr>
        <w:t xml:space="preserve">. A különböző építmények, létesítmények kivitelezéséhez, kialakításához rendkívül fontos, és az egyik legmeghatározóbb szakmai procedúra a tűzveszélyességi osztályba sorolás, ezért az oktatás során </w:t>
      </w:r>
      <w:r w:rsidR="00FB774C" w:rsidRPr="00411F63">
        <w:rPr>
          <w:szCs w:val="24"/>
        </w:rPr>
        <w:t>elengedhetetlen az ismertetése.</w:t>
      </w:r>
    </w:p>
    <w:p w:rsidR="005C303B" w:rsidRPr="00411F63" w:rsidRDefault="005C303B" w:rsidP="00411F63">
      <w:pPr>
        <w:spacing w:after="120" w:line="240" w:lineRule="auto"/>
        <w:ind w:left="-5"/>
        <w:rPr>
          <w:szCs w:val="24"/>
        </w:rPr>
      </w:pPr>
      <w:r w:rsidRPr="00411F63">
        <w:rPr>
          <w:szCs w:val="24"/>
        </w:rPr>
        <w:t>Tűzveszélyességi osztályok:</w:t>
      </w:r>
    </w:p>
    <w:p w:rsidR="005C303B" w:rsidRPr="00411F63" w:rsidRDefault="005C303B" w:rsidP="00411F63">
      <w:pPr>
        <w:pStyle w:val="Listaszerbekezds"/>
        <w:numPr>
          <w:ilvl w:val="0"/>
          <w:numId w:val="11"/>
        </w:numPr>
        <w:spacing w:after="120" w:line="240" w:lineRule="auto"/>
        <w:rPr>
          <w:szCs w:val="24"/>
        </w:rPr>
      </w:pPr>
      <w:r w:rsidRPr="00411F63">
        <w:rPr>
          <w:szCs w:val="24"/>
        </w:rPr>
        <w:t>Fokozottan tűz- vagy robbanásveszélyes</w:t>
      </w:r>
    </w:p>
    <w:p w:rsidR="005C303B" w:rsidRPr="00411F63" w:rsidRDefault="005C303B" w:rsidP="00411F63">
      <w:pPr>
        <w:pStyle w:val="Listaszerbekezds"/>
        <w:numPr>
          <w:ilvl w:val="0"/>
          <w:numId w:val="11"/>
        </w:numPr>
        <w:spacing w:after="120" w:line="240" w:lineRule="auto"/>
        <w:rPr>
          <w:szCs w:val="24"/>
        </w:rPr>
      </w:pPr>
      <w:r w:rsidRPr="00411F63">
        <w:rPr>
          <w:szCs w:val="24"/>
        </w:rPr>
        <w:t>Mérsékelten tűzveszélyes</w:t>
      </w:r>
    </w:p>
    <w:p w:rsidR="005C303B" w:rsidRPr="00411F63" w:rsidRDefault="005C303B" w:rsidP="00411F63">
      <w:pPr>
        <w:pStyle w:val="Listaszerbekezds"/>
        <w:numPr>
          <w:ilvl w:val="0"/>
          <w:numId w:val="11"/>
        </w:numPr>
        <w:spacing w:after="120" w:line="240" w:lineRule="auto"/>
        <w:rPr>
          <w:szCs w:val="24"/>
        </w:rPr>
      </w:pPr>
      <w:r w:rsidRPr="00411F63">
        <w:rPr>
          <w:szCs w:val="24"/>
        </w:rPr>
        <w:t>Nem tűzveszélyes</w:t>
      </w:r>
    </w:p>
    <w:p w:rsidR="00FB774C" w:rsidRPr="00411F63" w:rsidRDefault="005C303B" w:rsidP="00411F63">
      <w:pPr>
        <w:spacing w:after="120" w:line="240" w:lineRule="auto"/>
        <w:ind w:left="-5"/>
        <w:jc w:val="both"/>
        <w:rPr>
          <w:szCs w:val="24"/>
        </w:rPr>
      </w:pPr>
      <w:r w:rsidRPr="00411F63">
        <w:rPr>
          <w:szCs w:val="24"/>
        </w:rPr>
        <w:t>A helyiségekre, illetve az építményekre utaló tűzveszélyességi osztályok megszűnése (helyette a kockázati osztályok bevezetése) a meglévő építményeket nem érinti, csak az újakat, vagyis a meglévő építmények esetében nem kell elvégezni az átsorolást. Amennyiben erőteljesebb átalakítási munkálatokra, vagy rendeltetés-változásra kerülne sor, abban az esetben már teljesen más a helyzet</w:t>
      </w:r>
    </w:p>
    <w:p w:rsidR="00FB774C" w:rsidRPr="00411F63" w:rsidRDefault="00FB774C" w:rsidP="00411F63">
      <w:pPr>
        <w:spacing w:after="120" w:line="240" w:lineRule="auto"/>
        <w:ind w:left="2818" w:right="3137" w:hanging="2833"/>
        <w:rPr>
          <w:szCs w:val="24"/>
        </w:rPr>
      </w:pPr>
      <w:proofErr w:type="gramStart"/>
      <w:r w:rsidRPr="00411F63">
        <w:rPr>
          <w:szCs w:val="24"/>
        </w:rPr>
        <w:t>h</w:t>
      </w:r>
      <w:proofErr w:type="gramEnd"/>
      <w:r w:rsidRPr="00411F63">
        <w:rPr>
          <w:szCs w:val="24"/>
        </w:rPr>
        <w:t xml:space="preserve">.) </w:t>
      </w:r>
      <w:r w:rsidR="00F9617E" w:rsidRPr="00411F63">
        <w:rPr>
          <w:szCs w:val="24"/>
        </w:rPr>
        <w:t>Klasszikus értelemben a tűz keletkezésének feltételei</w:t>
      </w:r>
      <w:r w:rsidRPr="00411F63">
        <w:rPr>
          <w:szCs w:val="24"/>
        </w:rPr>
        <w:t xml:space="preserve">: </w:t>
      </w:r>
    </w:p>
    <w:p w:rsidR="00FB774C" w:rsidRPr="00411F63" w:rsidRDefault="00FB774C" w:rsidP="00411F63">
      <w:pPr>
        <w:pStyle w:val="Listaszerbekezds"/>
        <w:numPr>
          <w:ilvl w:val="0"/>
          <w:numId w:val="12"/>
        </w:numPr>
        <w:spacing w:after="120" w:line="240" w:lineRule="auto"/>
        <w:ind w:right="3137"/>
        <w:rPr>
          <w:szCs w:val="24"/>
        </w:rPr>
      </w:pPr>
      <w:r w:rsidRPr="00411F63">
        <w:rPr>
          <w:szCs w:val="24"/>
        </w:rPr>
        <w:lastRenderedPageBreak/>
        <w:t>É</w:t>
      </w:r>
      <w:r w:rsidR="00F9617E" w:rsidRPr="00411F63">
        <w:rPr>
          <w:szCs w:val="24"/>
        </w:rPr>
        <w:t xml:space="preserve">ghető anyag </w:t>
      </w:r>
    </w:p>
    <w:p w:rsidR="00C3696D" w:rsidRPr="00411F63" w:rsidRDefault="00FB774C" w:rsidP="00411F63">
      <w:pPr>
        <w:pStyle w:val="Listaszerbekezds"/>
        <w:numPr>
          <w:ilvl w:val="0"/>
          <w:numId w:val="12"/>
        </w:numPr>
        <w:spacing w:after="120" w:line="240" w:lineRule="auto"/>
        <w:ind w:right="3137"/>
        <w:rPr>
          <w:szCs w:val="24"/>
        </w:rPr>
      </w:pPr>
      <w:r w:rsidRPr="00411F63">
        <w:rPr>
          <w:szCs w:val="24"/>
        </w:rPr>
        <w:t>G</w:t>
      </w:r>
      <w:r w:rsidR="00F9617E" w:rsidRPr="00411F63">
        <w:rPr>
          <w:szCs w:val="24"/>
        </w:rPr>
        <w:t xml:space="preserve">yulladási hőmérséklet </w:t>
      </w:r>
    </w:p>
    <w:p w:rsidR="00C3696D" w:rsidRPr="00411F63" w:rsidRDefault="00FB774C" w:rsidP="00411F63">
      <w:pPr>
        <w:pStyle w:val="Listaszerbekezds"/>
        <w:numPr>
          <w:ilvl w:val="0"/>
          <w:numId w:val="12"/>
        </w:numPr>
        <w:spacing w:after="120" w:line="240" w:lineRule="auto"/>
        <w:rPr>
          <w:szCs w:val="24"/>
        </w:rPr>
      </w:pPr>
      <w:r w:rsidRPr="00411F63">
        <w:rPr>
          <w:szCs w:val="24"/>
        </w:rPr>
        <w:t>O</w:t>
      </w:r>
      <w:r w:rsidR="00F9617E" w:rsidRPr="00411F63">
        <w:rPr>
          <w:szCs w:val="24"/>
        </w:rPr>
        <w:t xml:space="preserve">xigén </w:t>
      </w:r>
    </w:p>
    <w:p w:rsidR="00C3696D" w:rsidRPr="00411F63" w:rsidRDefault="00F9617E" w:rsidP="00411F63">
      <w:pPr>
        <w:spacing w:after="120" w:line="240" w:lineRule="auto"/>
        <w:ind w:left="-5"/>
        <w:jc w:val="both"/>
        <w:rPr>
          <w:szCs w:val="24"/>
        </w:rPr>
      </w:pPr>
      <w:r w:rsidRPr="00411F63">
        <w:rPr>
          <w:szCs w:val="24"/>
        </w:rPr>
        <w:t xml:space="preserve">Mind a három feltételnek időben, térben együtt kell lenni ahhoz, hogy tűz keletkezzen. Az égés megszűnik, ha az égés egyik tényezőjét elvonjuk. Ez a tűzoltás alapja. </w:t>
      </w:r>
    </w:p>
    <w:p w:rsidR="00C3696D" w:rsidRPr="00411F63" w:rsidRDefault="00F9617E" w:rsidP="00411F63">
      <w:pPr>
        <w:pStyle w:val="Listaszerbekezds"/>
        <w:numPr>
          <w:ilvl w:val="0"/>
          <w:numId w:val="14"/>
        </w:numPr>
        <w:spacing w:after="120" w:line="240" w:lineRule="auto"/>
        <w:ind w:left="0" w:firstLine="0"/>
        <w:rPr>
          <w:szCs w:val="24"/>
        </w:rPr>
      </w:pPr>
      <w:r w:rsidRPr="00411F63">
        <w:rPr>
          <w:szCs w:val="24"/>
        </w:rPr>
        <w:t>Tűzoltási módok:</w:t>
      </w:r>
      <w:r w:rsidR="00FB774C" w:rsidRPr="00411F63">
        <w:rPr>
          <w:szCs w:val="24"/>
        </w:rPr>
        <w:t xml:space="preserve"> </w:t>
      </w:r>
    </w:p>
    <w:p w:rsidR="00C3696D" w:rsidRPr="00411F63" w:rsidRDefault="00FB774C" w:rsidP="00411F63">
      <w:pPr>
        <w:pStyle w:val="Listaszerbekezds"/>
        <w:numPr>
          <w:ilvl w:val="0"/>
          <w:numId w:val="15"/>
        </w:numPr>
        <w:spacing w:after="120" w:line="240" w:lineRule="auto"/>
        <w:rPr>
          <w:szCs w:val="24"/>
        </w:rPr>
      </w:pPr>
      <w:r w:rsidRPr="00411F63">
        <w:rPr>
          <w:szCs w:val="24"/>
        </w:rPr>
        <w:t>É</w:t>
      </w:r>
      <w:r w:rsidR="00F9617E" w:rsidRPr="00411F63">
        <w:rPr>
          <w:szCs w:val="24"/>
        </w:rPr>
        <w:t xml:space="preserve">ghető anyag eltávolítása, </w:t>
      </w:r>
    </w:p>
    <w:p w:rsidR="00C3696D" w:rsidRPr="00411F63" w:rsidRDefault="00FB774C" w:rsidP="00411F63">
      <w:pPr>
        <w:pStyle w:val="Listaszerbekezds"/>
        <w:numPr>
          <w:ilvl w:val="0"/>
          <w:numId w:val="15"/>
        </w:numPr>
        <w:spacing w:after="120" w:line="240" w:lineRule="auto"/>
        <w:rPr>
          <w:szCs w:val="24"/>
        </w:rPr>
      </w:pPr>
      <w:r w:rsidRPr="00411F63">
        <w:rPr>
          <w:szCs w:val="24"/>
        </w:rPr>
        <w:t>É</w:t>
      </w:r>
      <w:r w:rsidR="00F9617E" w:rsidRPr="00411F63">
        <w:rPr>
          <w:szCs w:val="24"/>
        </w:rPr>
        <w:t>gést tápláló oxigén eltávolítása (CO2 v</w:t>
      </w:r>
      <w:r w:rsidRPr="00411F63">
        <w:rPr>
          <w:szCs w:val="24"/>
        </w:rPr>
        <w:t xml:space="preserve">agy N gázzal elárasztani, vagy habbal kell </w:t>
      </w:r>
      <w:r w:rsidR="00F9617E" w:rsidRPr="00411F63">
        <w:rPr>
          <w:szCs w:val="24"/>
        </w:rPr>
        <w:t xml:space="preserve">letakarni) </w:t>
      </w:r>
    </w:p>
    <w:p w:rsidR="00C3696D" w:rsidRPr="00411F63" w:rsidRDefault="00FB774C" w:rsidP="00411F63">
      <w:pPr>
        <w:pStyle w:val="Listaszerbekezds"/>
        <w:numPr>
          <w:ilvl w:val="0"/>
          <w:numId w:val="15"/>
        </w:numPr>
        <w:spacing w:after="120" w:line="240" w:lineRule="auto"/>
        <w:rPr>
          <w:szCs w:val="24"/>
        </w:rPr>
      </w:pPr>
      <w:r w:rsidRPr="00411F63">
        <w:rPr>
          <w:szCs w:val="24"/>
        </w:rPr>
        <w:t>O</w:t>
      </w:r>
      <w:r w:rsidR="00F9617E" w:rsidRPr="00411F63">
        <w:rPr>
          <w:szCs w:val="24"/>
        </w:rPr>
        <w:t xml:space="preserve">ltás a hűtés elve alapján, </w:t>
      </w:r>
    </w:p>
    <w:p w:rsidR="00FB774C" w:rsidRDefault="00FB774C" w:rsidP="00411F63">
      <w:pPr>
        <w:pStyle w:val="Listaszerbekezds"/>
        <w:spacing w:after="120" w:line="240" w:lineRule="auto"/>
        <w:ind w:firstLine="0"/>
        <w:rPr>
          <w:szCs w:val="24"/>
        </w:rPr>
      </w:pPr>
    </w:p>
    <w:p w:rsidR="00411F63" w:rsidRPr="00411F63" w:rsidRDefault="00411F63" w:rsidP="00411F63">
      <w:pPr>
        <w:pStyle w:val="Listaszerbekezds"/>
        <w:spacing w:after="120" w:line="240" w:lineRule="auto"/>
        <w:ind w:firstLine="0"/>
        <w:rPr>
          <w:szCs w:val="24"/>
        </w:rPr>
      </w:pPr>
    </w:p>
    <w:p w:rsidR="00C3696D" w:rsidRPr="00411F63" w:rsidRDefault="00F9617E" w:rsidP="009522E6">
      <w:pPr>
        <w:pStyle w:val="Cmsor2"/>
        <w:tabs>
          <w:tab w:val="center" w:pos="2559"/>
        </w:tabs>
        <w:spacing w:after="120" w:line="240" w:lineRule="auto"/>
        <w:ind w:left="-15" w:firstLine="0"/>
        <w:rPr>
          <w:szCs w:val="24"/>
        </w:rPr>
      </w:pPr>
      <w:r w:rsidRPr="00411F63">
        <w:rPr>
          <w:szCs w:val="24"/>
        </w:rPr>
        <w:t xml:space="preserve">II. </w:t>
      </w:r>
      <w:r w:rsidRPr="00411F63">
        <w:rPr>
          <w:szCs w:val="24"/>
        </w:rPr>
        <w:tab/>
        <w:t xml:space="preserve">Tennivalók tűz és katasztrófa esetén </w:t>
      </w:r>
    </w:p>
    <w:p w:rsidR="00C3696D" w:rsidRPr="00411F63" w:rsidRDefault="00F9617E" w:rsidP="00411F63">
      <w:pPr>
        <w:tabs>
          <w:tab w:val="center" w:pos="1543"/>
        </w:tabs>
        <w:spacing w:after="120" w:line="240" w:lineRule="auto"/>
        <w:ind w:left="-15" w:firstLine="0"/>
        <w:rPr>
          <w:szCs w:val="24"/>
        </w:rPr>
      </w:pPr>
      <w:r w:rsidRPr="00411F63">
        <w:rPr>
          <w:b/>
          <w:szCs w:val="24"/>
        </w:rPr>
        <w:t>1.</w:t>
      </w:r>
      <w:r w:rsidRPr="00411F63">
        <w:rPr>
          <w:szCs w:val="24"/>
        </w:rPr>
        <w:t xml:space="preserve"> </w:t>
      </w:r>
      <w:r w:rsidRPr="00411F63">
        <w:rPr>
          <w:szCs w:val="24"/>
        </w:rPr>
        <w:tab/>
      </w:r>
      <w:r w:rsidRPr="00411F63">
        <w:rPr>
          <w:b/>
          <w:szCs w:val="24"/>
          <w:u w:val="single" w:color="000000"/>
        </w:rPr>
        <w:t>Tűzjelzés módja</w:t>
      </w:r>
      <w:r w:rsidRPr="00411F63">
        <w:rPr>
          <w:szCs w:val="24"/>
        </w:rPr>
        <w:t xml:space="preserve"> </w:t>
      </w:r>
    </w:p>
    <w:p w:rsidR="00C3696D" w:rsidRPr="00411F63" w:rsidRDefault="00F9617E" w:rsidP="00411F63">
      <w:pPr>
        <w:spacing w:after="120" w:line="240" w:lineRule="auto"/>
        <w:ind w:left="-5"/>
        <w:jc w:val="both"/>
        <w:rPr>
          <w:szCs w:val="24"/>
        </w:rPr>
      </w:pPr>
      <w:r w:rsidRPr="00411F63">
        <w:rPr>
          <w:szCs w:val="24"/>
        </w:rPr>
        <w:t xml:space="preserve">Aki tüzet, vagy annak közvetlen veszélyét észleli, illetve arról tudomást szerez, köteles késedelem nélkül intézkedni, és a tüzet jelezni. </w:t>
      </w:r>
    </w:p>
    <w:p w:rsidR="00C3696D" w:rsidRPr="00411F63" w:rsidRDefault="00F9617E" w:rsidP="00411F63">
      <w:pPr>
        <w:spacing w:after="120" w:line="240" w:lineRule="auto"/>
        <w:ind w:left="-5"/>
        <w:jc w:val="both"/>
        <w:rPr>
          <w:szCs w:val="24"/>
        </w:rPr>
      </w:pPr>
      <w:r w:rsidRPr="00411F63">
        <w:rPr>
          <w:szCs w:val="24"/>
        </w:rPr>
        <w:t xml:space="preserve">A tüzet a hivatásos tűzoltóságnak a </w:t>
      </w:r>
      <w:r w:rsidRPr="00411F63">
        <w:rPr>
          <w:rFonts w:ascii="Wingdings" w:eastAsia="Wingdings" w:hAnsi="Wingdings"/>
          <w:szCs w:val="24"/>
        </w:rPr>
        <w:t></w:t>
      </w:r>
      <w:r w:rsidR="00FB774C" w:rsidRPr="00411F63">
        <w:rPr>
          <w:rFonts w:ascii="Wingdings" w:hAnsi="Wingdings"/>
          <w:szCs w:val="24"/>
        </w:rPr>
        <w:t></w:t>
      </w:r>
      <w:r w:rsidRPr="00411F63">
        <w:rPr>
          <w:szCs w:val="24"/>
        </w:rPr>
        <w:t xml:space="preserve">105-ös telefonszámon vagy a </w:t>
      </w:r>
      <w:r w:rsidRPr="00411F63">
        <w:rPr>
          <w:rFonts w:ascii="Wingdings" w:eastAsia="Wingdings" w:hAnsi="Wingdings"/>
          <w:szCs w:val="24"/>
        </w:rPr>
        <w:t></w:t>
      </w:r>
      <w:r w:rsidR="00FB774C" w:rsidRPr="00411F63">
        <w:rPr>
          <w:rFonts w:ascii="Wingdings" w:eastAsia="Wingdings" w:hAnsi="Wingdings"/>
          <w:szCs w:val="24"/>
        </w:rPr>
        <w:t></w:t>
      </w:r>
      <w:r w:rsidR="00FB774C" w:rsidRPr="00411F63">
        <w:rPr>
          <w:szCs w:val="24"/>
        </w:rPr>
        <w:t xml:space="preserve">112-es egységes </w:t>
      </w:r>
      <w:r w:rsidRPr="00411F63">
        <w:rPr>
          <w:szCs w:val="24"/>
        </w:rPr>
        <w:t xml:space="preserve">segélyhívó számon kell jelezni.  </w:t>
      </w:r>
    </w:p>
    <w:p w:rsidR="001A559C" w:rsidRPr="001A559C" w:rsidRDefault="001A559C" w:rsidP="001A559C">
      <w:pPr>
        <w:spacing w:after="120" w:line="240" w:lineRule="auto"/>
        <w:jc w:val="both"/>
        <w:rPr>
          <w:szCs w:val="24"/>
        </w:rPr>
      </w:pPr>
      <w:r w:rsidRPr="001A559C">
        <w:rPr>
          <w:szCs w:val="24"/>
        </w:rPr>
        <w:t xml:space="preserve">A tűzjelzés díjtalan és más hívásokkal szemben elsőbbséget élvez. </w:t>
      </w:r>
    </w:p>
    <w:p w:rsidR="00411F63" w:rsidRPr="00411F63" w:rsidRDefault="00411F63" w:rsidP="00411F63">
      <w:pPr>
        <w:spacing w:after="120" w:line="240" w:lineRule="auto"/>
        <w:ind w:left="-5"/>
        <w:jc w:val="both"/>
        <w:rPr>
          <w:szCs w:val="24"/>
        </w:rPr>
      </w:pPr>
    </w:p>
    <w:p w:rsidR="00C3696D" w:rsidRPr="00411F63" w:rsidRDefault="00F9617E" w:rsidP="00411F63">
      <w:pPr>
        <w:spacing w:after="120" w:line="240" w:lineRule="auto"/>
        <w:ind w:left="-5" w:right="3137"/>
        <w:jc w:val="both"/>
        <w:rPr>
          <w:szCs w:val="24"/>
        </w:rPr>
      </w:pPr>
      <w:r w:rsidRPr="00411F63">
        <w:rPr>
          <w:szCs w:val="24"/>
          <w:u w:val="single" w:color="000000"/>
        </w:rPr>
        <w:t>Személy által történő tűzjelzésnek tartalmaznia kell:</w:t>
      </w:r>
      <w:r w:rsidRPr="00411F63">
        <w:rPr>
          <w:szCs w:val="24"/>
        </w:rPr>
        <w:t xml:space="preserve">  </w:t>
      </w:r>
    </w:p>
    <w:p w:rsidR="00C3696D" w:rsidRPr="00411F63" w:rsidRDefault="009A1A4A" w:rsidP="00411F63">
      <w:pPr>
        <w:pStyle w:val="Listaszerbekezds"/>
        <w:numPr>
          <w:ilvl w:val="0"/>
          <w:numId w:val="16"/>
        </w:numPr>
        <w:spacing w:after="120" w:line="240" w:lineRule="auto"/>
        <w:jc w:val="both"/>
        <w:rPr>
          <w:szCs w:val="24"/>
        </w:rPr>
      </w:pPr>
      <w:r w:rsidRPr="00411F63">
        <w:rPr>
          <w:szCs w:val="24"/>
        </w:rPr>
        <w:t>A</w:t>
      </w:r>
      <w:r w:rsidR="00F9617E" w:rsidRPr="00411F63">
        <w:rPr>
          <w:szCs w:val="24"/>
        </w:rPr>
        <w:t xml:space="preserve"> tűzeset, </w:t>
      </w:r>
      <w:r w:rsidRPr="00411F63">
        <w:rPr>
          <w:szCs w:val="24"/>
        </w:rPr>
        <w:t>káreset pontos helyét (címét);</w:t>
      </w:r>
    </w:p>
    <w:p w:rsidR="00C3696D" w:rsidRPr="00411F63" w:rsidRDefault="009A1A4A" w:rsidP="00411F63">
      <w:pPr>
        <w:pStyle w:val="Listaszerbekezds"/>
        <w:numPr>
          <w:ilvl w:val="0"/>
          <w:numId w:val="16"/>
        </w:numPr>
        <w:spacing w:after="120" w:line="240" w:lineRule="auto"/>
        <w:jc w:val="both"/>
        <w:rPr>
          <w:szCs w:val="24"/>
        </w:rPr>
      </w:pPr>
      <w:r w:rsidRPr="00411F63">
        <w:rPr>
          <w:szCs w:val="24"/>
        </w:rPr>
        <w:t>E</w:t>
      </w:r>
      <w:r w:rsidR="00F9617E" w:rsidRPr="00411F63">
        <w:rPr>
          <w:szCs w:val="24"/>
        </w:rPr>
        <w:t xml:space="preserve">mberélet van-e veszélyben;  </w:t>
      </w:r>
    </w:p>
    <w:p w:rsidR="00C3696D" w:rsidRPr="00411F63" w:rsidRDefault="009A1A4A" w:rsidP="00411F63">
      <w:pPr>
        <w:pStyle w:val="Listaszerbekezds"/>
        <w:numPr>
          <w:ilvl w:val="0"/>
          <w:numId w:val="16"/>
        </w:numPr>
        <w:spacing w:after="120" w:line="240" w:lineRule="auto"/>
        <w:jc w:val="both"/>
        <w:rPr>
          <w:szCs w:val="24"/>
        </w:rPr>
      </w:pPr>
      <w:r w:rsidRPr="00411F63">
        <w:rPr>
          <w:szCs w:val="24"/>
        </w:rPr>
        <w:t>M</w:t>
      </w:r>
      <w:r w:rsidR="00F9617E" w:rsidRPr="00411F63">
        <w:rPr>
          <w:szCs w:val="24"/>
        </w:rPr>
        <w:t>i ég, milyen káreset történt, mi van veszélybe</w:t>
      </w:r>
      <w:r w:rsidRPr="00411F63">
        <w:rPr>
          <w:szCs w:val="24"/>
        </w:rPr>
        <w:t>n;</w:t>
      </w:r>
    </w:p>
    <w:p w:rsidR="00C3696D" w:rsidRPr="00411F63" w:rsidRDefault="009A1A4A" w:rsidP="00411F63">
      <w:pPr>
        <w:pStyle w:val="Listaszerbekezds"/>
        <w:numPr>
          <w:ilvl w:val="0"/>
          <w:numId w:val="16"/>
        </w:numPr>
        <w:spacing w:after="120" w:line="240" w:lineRule="auto"/>
        <w:jc w:val="both"/>
        <w:rPr>
          <w:szCs w:val="24"/>
        </w:rPr>
      </w:pPr>
      <w:r w:rsidRPr="00411F63">
        <w:rPr>
          <w:szCs w:val="24"/>
        </w:rPr>
        <w:t>A</w:t>
      </w:r>
      <w:r w:rsidR="00F9617E" w:rsidRPr="00411F63">
        <w:rPr>
          <w:szCs w:val="24"/>
        </w:rPr>
        <w:t xml:space="preserve"> bejelentő személy nevét és a jelzésre használt távbeszélő készülék hívószámát.  </w:t>
      </w:r>
    </w:p>
    <w:p w:rsidR="00C3696D" w:rsidRPr="00411F63" w:rsidRDefault="00F9617E" w:rsidP="00411F63">
      <w:pPr>
        <w:spacing w:after="120" w:line="240" w:lineRule="auto"/>
        <w:ind w:left="-5"/>
        <w:jc w:val="both"/>
        <w:rPr>
          <w:szCs w:val="24"/>
        </w:rPr>
      </w:pPr>
      <w:r w:rsidRPr="00411F63">
        <w:rPr>
          <w:szCs w:val="24"/>
        </w:rPr>
        <w:t xml:space="preserve">A jelzést vevő tűzoltó további kérdéseire is egyértelmű és részletes választ kell adni. </w:t>
      </w:r>
    </w:p>
    <w:p w:rsidR="00C3696D" w:rsidRPr="00411F63" w:rsidRDefault="00C3696D" w:rsidP="00411F63">
      <w:pPr>
        <w:spacing w:after="120" w:line="240" w:lineRule="auto"/>
        <w:ind w:left="0" w:firstLine="0"/>
        <w:jc w:val="both"/>
        <w:rPr>
          <w:szCs w:val="24"/>
        </w:rPr>
      </w:pPr>
    </w:p>
    <w:p w:rsidR="00C3696D" w:rsidRPr="00411F63" w:rsidRDefault="00F9617E" w:rsidP="00411F63">
      <w:pPr>
        <w:tabs>
          <w:tab w:val="center" w:pos="1530"/>
        </w:tabs>
        <w:spacing w:after="120" w:line="240" w:lineRule="auto"/>
        <w:ind w:left="-15" w:firstLine="0"/>
        <w:jc w:val="both"/>
        <w:rPr>
          <w:szCs w:val="24"/>
        </w:rPr>
      </w:pPr>
      <w:r w:rsidRPr="00411F63">
        <w:rPr>
          <w:b/>
          <w:szCs w:val="24"/>
        </w:rPr>
        <w:t>2.</w:t>
      </w:r>
      <w:r w:rsidRPr="00411F63">
        <w:rPr>
          <w:szCs w:val="24"/>
        </w:rPr>
        <w:t xml:space="preserve"> </w:t>
      </w:r>
      <w:r w:rsidRPr="00411F63">
        <w:rPr>
          <w:szCs w:val="24"/>
        </w:rPr>
        <w:tab/>
      </w:r>
      <w:r w:rsidRPr="00411F63">
        <w:rPr>
          <w:b/>
          <w:szCs w:val="24"/>
          <w:u w:val="single" w:color="000000"/>
        </w:rPr>
        <w:t>Riasztás módja:</w:t>
      </w:r>
      <w:r w:rsidRPr="00411F63">
        <w:rPr>
          <w:b/>
          <w:szCs w:val="24"/>
        </w:rPr>
        <w:t xml:space="preserve"> </w:t>
      </w:r>
    </w:p>
    <w:p w:rsidR="00C3696D" w:rsidRPr="00411F63" w:rsidRDefault="00F9617E" w:rsidP="00411F63">
      <w:pPr>
        <w:spacing w:after="120" w:line="240" w:lineRule="auto"/>
        <w:ind w:left="-5"/>
        <w:jc w:val="both"/>
        <w:rPr>
          <w:szCs w:val="24"/>
        </w:rPr>
      </w:pPr>
      <w:r w:rsidRPr="00411F63">
        <w:rPr>
          <w:szCs w:val="24"/>
        </w:rPr>
        <w:t xml:space="preserve">Közvetlen riasztás: (a tűzjelzés - személy vagy eszköz közbeiktatása nélkül - közvetlenül a tűzoltóságra fut be.) </w:t>
      </w:r>
    </w:p>
    <w:p w:rsidR="00C3696D" w:rsidRPr="00411F63" w:rsidRDefault="00F9617E" w:rsidP="00411F63">
      <w:pPr>
        <w:spacing w:after="120" w:line="240" w:lineRule="auto"/>
        <w:ind w:left="-5"/>
        <w:jc w:val="both"/>
        <w:rPr>
          <w:szCs w:val="24"/>
        </w:rPr>
      </w:pPr>
      <w:r w:rsidRPr="00411F63">
        <w:rPr>
          <w:szCs w:val="24"/>
        </w:rPr>
        <w:t>Közvetett riasztás (a tűzjelzés emberi vagy technikai eszközök közbeiktatásával jut a tűzoltó</w:t>
      </w:r>
      <w:r w:rsidR="00A75CBF">
        <w:rPr>
          <w:szCs w:val="24"/>
        </w:rPr>
        <w:t>ság</w:t>
      </w:r>
      <w:r w:rsidRPr="00411F63">
        <w:rPr>
          <w:szCs w:val="24"/>
        </w:rPr>
        <w:t xml:space="preserve"> tudomására). </w:t>
      </w:r>
    </w:p>
    <w:p w:rsidR="00C3696D" w:rsidRPr="00411F63" w:rsidRDefault="00F9617E" w:rsidP="00411F63">
      <w:pPr>
        <w:tabs>
          <w:tab w:val="center" w:pos="2833"/>
        </w:tabs>
        <w:spacing w:after="120" w:line="240" w:lineRule="auto"/>
        <w:ind w:left="-15" w:firstLine="0"/>
        <w:rPr>
          <w:szCs w:val="24"/>
        </w:rPr>
      </w:pPr>
      <w:r w:rsidRPr="00411F63">
        <w:rPr>
          <w:szCs w:val="24"/>
        </w:rPr>
        <w:t xml:space="preserve">A riasztás módja lehet: </w:t>
      </w:r>
      <w:r w:rsidRPr="00411F63">
        <w:rPr>
          <w:szCs w:val="24"/>
        </w:rPr>
        <w:tab/>
        <w:t xml:space="preserve"> </w:t>
      </w:r>
    </w:p>
    <w:p w:rsidR="00C3696D" w:rsidRPr="00411F63" w:rsidRDefault="009A1A4A" w:rsidP="00411F63">
      <w:pPr>
        <w:numPr>
          <w:ilvl w:val="0"/>
          <w:numId w:val="17"/>
        </w:numPr>
        <w:spacing w:after="120" w:line="240" w:lineRule="auto"/>
        <w:ind w:hanging="708"/>
        <w:rPr>
          <w:szCs w:val="24"/>
        </w:rPr>
      </w:pPr>
      <w:r w:rsidRPr="00411F63">
        <w:rPr>
          <w:szCs w:val="24"/>
        </w:rPr>
        <w:t>H</w:t>
      </w:r>
      <w:r w:rsidR="00A75CBF">
        <w:rPr>
          <w:szCs w:val="24"/>
        </w:rPr>
        <w:t>angos kiabálással</w:t>
      </w:r>
    </w:p>
    <w:p w:rsidR="00C3696D" w:rsidRPr="00411F63" w:rsidRDefault="009A1A4A" w:rsidP="00411F63">
      <w:pPr>
        <w:numPr>
          <w:ilvl w:val="0"/>
          <w:numId w:val="17"/>
        </w:numPr>
        <w:spacing w:after="120" w:line="240" w:lineRule="auto"/>
        <w:ind w:hanging="708"/>
        <w:rPr>
          <w:szCs w:val="24"/>
        </w:rPr>
      </w:pPr>
      <w:r w:rsidRPr="00411F63">
        <w:rPr>
          <w:szCs w:val="24"/>
        </w:rPr>
        <w:t>K</w:t>
      </w:r>
      <w:r w:rsidR="00A75CBF">
        <w:rPr>
          <w:szCs w:val="24"/>
        </w:rPr>
        <w:t>ongatással, kolompolással</w:t>
      </w:r>
    </w:p>
    <w:p w:rsidR="00C3696D" w:rsidRPr="00411F63" w:rsidRDefault="009A1A4A" w:rsidP="00411F63">
      <w:pPr>
        <w:numPr>
          <w:ilvl w:val="0"/>
          <w:numId w:val="17"/>
        </w:numPr>
        <w:spacing w:after="120" w:line="240" w:lineRule="auto"/>
        <w:ind w:hanging="708"/>
        <w:rPr>
          <w:szCs w:val="24"/>
        </w:rPr>
      </w:pPr>
      <w:r w:rsidRPr="00411F63">
        <w:rPr>
          <w:szCs w:val="24"/>
        </w:rPr>
        <w:t>V</w:t>
      </w:r>
      <w:r w:rsidR="00A75CBF">
        <w:rPr>
          <w:szCs w:val="24"/>
        </w:rPr>
        <w:t>észcsengő használatával</w:t>
      </w:r>
    </w:p>
    <w:p w:rsidR="00C3696D" w:rsidRPr="00411F63" w:rsidRDefault="009A1A4A" w:rsidP="00411F63">
      <w:pPr>
        <w:numPr>
          <w:ilvl w:val="0"/>
          <w:numId w:val="17"/>
        </w:numPr>
        <w:spacing w:after="120" w:line="240" w:lineRule="auto"/>
        <w:ind w:hanging="708"/>
        <w:rPr>
          <w:szCs w:val="24"/>
        </w:rPr>
      </w:pPr>
      <w:r w:rsidRPr="00411F63">
        <w:rPr>
          <w:szCs w:val="24"/>
        </w:rPr>
        <w:t>H</w:t>
      </w:r>
      <w:r w:rsidR="00F9617E" w:rsidRPr="00411F63">
        <w:rPr>
          <w:szCs w:val="24"/>
        </w:rPr>
        <w:t>ázi telefon alkalmazásával (központo</w:t>
      </w:r>
      <w:r w:rsidR="00A75CBF">
        <w:rPr>
          <w:szCs w:val="24"/>
        </w:rPr>
        <w:t>n, vagy alközponton keresztül)</w:t>
      </w:r>
    </w:p>
    <w:p w:rsidR="00C3696D" w:rsidRPr="00411F63" w:rsidRDefault="009A1A4A" w:rsidP="00411F63">
      <w:pPr>
        <w:numPr>
          <w:ilvl w:val="0"/>
          <w:numId w:val="17"/>
        </w:numPr>
        <w:spacing w:after="120" w:line="240" w:lineRule="auto"/>
        <w:ind w:hanging="708"/>
        <w:rPr>
          <w:szCs w:val="24"/>
        </w:rPr>
      </w:pPr>
      <w:r w:rsidRPr="00411F63">
        <w:rPr>
          <w:szCs w:val="24"/>
        </w:rPr>
        <w:t>Kültéri riasztó egység</w:t>
      </w:r>
      <w:r w:rsidR="00F9617E" w:rsidRPr="00411F63">
        <w:rPr>
          <w:szCs w:val="24"/>
        </w:rPr>
        <w:t xml:space="preserve"> működtetésével </w:t>
      </w:r>
    </w:p>
    <w:p w:rsidR="00411F63" w:rsidRDefault="00411F63" w:rsidP="00411F63">
      <w:pPr>
        <w:spacing w:after="120" w:line="240" w:lineRule="auto"/>
        <w:ind w:left="-5" w:right="4"/>
        <w:jc w:val="both"/>
        <w:rPr>
          <w:szCs w:val="24"/>
        </w:rPr>
      </w:pPr>
    </w:p>
    <w:p w:rsidR="00A75CBF" w:rsidRDefault="00F9617E" w:rsidP="00411F63">
      <w:pPr>
        <w:spacing w:after="120" w:line="240" w:lineRule="auto"/>
        <w:ind w:left="-5" w:right="4"/>
        <w:jc w:val="both"/>
        <w:rPr>
          <w:szCs w:val="24"/>
        </w:rPr>
      </w:pPr>
      <w:r w:rsidRPr="00411F63">
        <w:rPr>
          <w:szCs w:val="24"/>
        </w:rPr>
        <w:t xml:space="preserve">Az épület területén a tűzesetet (kiépített jelzőrendszer esetén) a falra szerelt tűzjelző </w:t>
      </w:r>
      <w:r w:rsidR="009A1A4A" w:rsidRPr="00411F63">
        <w:rPr>
          <w:szCs w:val="24"/>
        </w:rPr>
        <w:t>b</w:t>
      </w:r>
      <w:r w:rsidRPr="00411F63">
        <w:rPr>
          <w:szCs w:val="24"/>
        </w:rPr>
        <w:t xml:space="preserve">erendezés kézi jelzésadóinak használatával is lehet jelezni. </w:t>
      </w:r>
    </w:p>
    <w:p w:rsidR="00A75CBF" w:rsidRDefault="00A75CBF" w:rsidP="00411F63">
      <w:pPr>
        <w:spacing w:after="120" w:line="240" w:lineRule="auto"/>
        <w:ind w:left="-5" w:right="4"/>
        <w:jc w:val="both"/>
        <w:rPr>
          <w:szCs w:val="24"/>
        </w:rPr>
      </w:pPr>
    </w:p>
    <w:p w:rsidR="009A1A4A" w:rsidRPr="00411F63" w:rsidRDefault="00F9617E" w:rsidP="00411F63">
      <w:pPr>
        <w:spacing w:after="120" w:line="240" w:lineRule="auto"/>
        <w:ind w:left="-5" w:right="4"/>
        <w:jc w:val="both"/>
        <w:rPr>
          <w:szCs w:val="24"/>
        </w:rPr>
      </w:pPr>
      <w:r w:rsidRPr="00411F63">
        <w:rPr>
          <w:szCs w:val="24"/>
          <w:u w:val="single" w:color="000000"/>
        </w:rPr>
        <w:t>A riasztás elrendelése</w:t>
      </w:r>
      <w:r w:rsidR="009A1A4A" w:rsidRPr="00411F63">
        <w:rPr>
          <w:szCs w:val="24"/>
        </w:rPr>
        <w:t xml:space="preserve"> (tűzriadó)</w:t>
      </w:r>
    </w:p>
    <w:p w:rsidR="00C3696D" w:rsidRPr="00411F63" w:rsidRDefault="00F9617E" w:rsidP="00A75CBF">
      <w:pPr>
        <w:spacing w:after="120" w:line="240" w:lineRule="auto"/>
        <w:ind w:left="-5" w:right="4"/>
        <w:jc w:val="both"/>
        <w:rPr>
          <w:szCs w:val="24"/>
        </w:rPr>
      </w:pPr>
      <w:r w:rsidRPr="00411F63">
        <w:rPr>
          <w:i/>
          <w:szCs w:val="24"/>
        </w:rPr>
        <w:t>A riasztást elrendelheti</w:t>
      </w:r>
      <w:r w:rsidRPr="00411F63">
        <w:rPr>
          <w:szCs w:val="24"/>
        </w:rPr>
        <w:t xml:space="preserve">: </w:t>
      </w:r>
    </w:p>
    <w:p w:rsidR="00C3696D" w:rsidRPr="00411F63" w:rsidRDefault="00A75CBF" w:rsidP="00A75CBF">
      <w:pPr>
        <w:numPr>
          <w:ilvl w:val="0"/>
          <w:numId w:val="18"/>
        </w:numPr>
        <w:spacing w:after="120" w:line="240" w:lineRule="auto"/>
        <w:ind w:hanging="708"/>
        <w:rPr>
          <w:szCs w:val="24"/>
        </w:rPr>
      </w:pPr>
      <w:r>
        <w:rPr>
          <w:szCs w:val="24"/>
        </w:rPr>
        <w:t>Aki a tüzet észlelte</w:t>
      </w:r>
    </w:p>
    <w:p w:rsidR="009A1A4A" w:rsidRPr="00411F63" w:rsidRDefault="00F9617E" w:rsidP="00A75CBF">
      <w:pPr>
        <w:numPr>
          <w:ilvl w:val="0"/>
          <w:numId w:val="18"/>
        </w:numPr>
        <w:spacing w:after="120" w:line="240" w:lineRule="auto"/>
        <w:ind w:hanging="708"/>
        <w:rPr>
          <w:szCs w:val="24"/>
        </w:rPr>
      </w:pPr>
      <w:r w:rsidRPr="00411F63">
        <w:rPr>
          <w:szCs w:val="24"/>
        </w:rPr>
        <w:t xml:space="preserve">Az értesítendő személy (akit értesítettek) </w:t>
      </w:r>
    </w:p>
    <w:p w:rsidR="009A1A4A" w:rsidRPr="00411F63" w:rsidRDefault="00F9617E" w:rsidP="00A75CBF">
      <w:pPr>
        <w:numPr>
          <w:ilvl w:val="0"/>
          <w:numId w:val="18"/>
        </w:numPr>
        <w:spacing w:after="120" w:line="240" w:lineRule="auto"/>
        <w:ind w:hanging="708"/>
        <w:rPr>
          <w:szCs w:val="24"/>
        </w:rPr>
      </w:pPr>
      <w:r w:rsidRPr="00411F63">
        <w:rPr>
          <w:szCs w:val="24"/>
        </w:rPr>
        <w:t>A tűzjelzé</w:t>
      </w:r>
      <w:r w:rsidR="00A75CBF">
        <w:rPr>
          <w:szCs w:val="24"/>
        </w:rPr>
        <w:t>st fogadó vagy észlelő személy</w:t>
      </w:r>
    </w:p>
    <w:p w:rsidR="00A75CBF" w:rsidRDefault="00F9617E" w:rsidP="00A75CBF">
      <w:pPr>
        <w:numPr>
          <w:ilvl w:val="0"/>
          <w:numId w:val="18"/>
        </w:numPr>
        <w:spacing w:after="120" w:line="240" w:lineRule="auto"/>
        <w:ind w:hanging="708"/>
        <w:rPr>
          <w:szCs w:val="24"/>
        </w:rPr>
      </w:pPr>
      <w:r w:rsidRPr="00411F63">
        <w:rPr>
          <w:szCs w:val="24"/>
        </w:rPr>
        <w:t>Gyakorló riasztás során</w:t>
      </w:r>
      <w:r w:rsidR="00A75CBF">
        <w:rPr>
          <w:szCs w:val="24"/>
        </w:rPr>
        <w:t xml:space="preserve"> a vezető</w:t>
      </w:r>
    </w:p>
    <w:p w:rsidR="00A75CBF" w:rsidRDefault="00A75CBF" w:rsidP="00A75CBF">
      <w:pPr>
        <w:numPr>
          <w:ilvl w:val="0"/>
          <w:numId w:val="18"/>
        </w:numPr>
        <w:spacing w:after="120" w:line="240" w:lineRule="auto"/>
        <w:ind w:hanging="708"/>
        <w:rPr>
          <w:szCs w:val="24"/>
        </w:rPr>
      </w:pPr>
      <w:r w:rsidRPr="00A75CBF">
        <w:rPr>
          <w:szCs w:val="24"/>
        </w:rPr>
        <w:t>Az ott dolgozó személyek</w:t>
      </w:r>
    </w:p>
    <w:p w:rsidR="009A1A4A" w:rsidRPr="00F94672" w:rsidRDefault="00F9617E" w:rsidP="00F94672">
      <w:pPr>
        <w:numPr>
          <w:ilvl w:val="0"/>
          <w:numId w:val="18"/>
        </w:numPr>
        <w:spacing w:after="120" w:line="240" w:lineRule="auto"/>
        <w:ind w:hanging="708"/>
        <w:rPr>
          <w:szCs w:val="24"/>
        </w:rPr>
      </w:pPr>
      <w:r w:rsidRPr="00A75CBF">
        <w:rPr>
          <w:szCs w:val="24"/>
        </w:rPr>
        <w:t xml:space="preserve">Az épületben tartózkodók, külső személyek, ügyfelek. </w:t>
      </w:r>
    </w:p>
    <w:p w:rsidR="009A1A4A" w:rsidRPr="00411F63" w:rsidRDefault="009A1A4A" w:rsidP="00A75CBF">
      <w:pPr>
        <w:spacing w:after="120" w:line="240" w:lineRule="auto"/>
        <w:ind w:left="0" w:firstLine="0"/>
        <w:rPr>
          <w:szCs w:val="24"/>
        </w:rPr>
      </w:pPr>
    </w:p>
    <w:p w:rsidR="00C3696D" w:rsidRPr="00411F63" w:rsidRDefault="00F9617E" w:rsidP="00A75CBF">
      <w:pPr>
        <w:tabs>
          <w:tab w:val="center" w:pos="2996"/>
        </w:tabs>
        <w:spacing w:after="120" w:line="240" w:lineRule="auto"/>
        <w:ind w:left="-15" w:firstLine="0"/>
        <w:rPr>
          <w:szCs w:val="24"/>
        </w:rPr>
      </w:pPr>
      <w:r w:rsidRPr="00411F63">
        <w:rPr>
          <w:b/>
          <w:szCs w:val="24"/>
        </w:rPr>
        <w:t xml:space="preserve">3. </w:t>
      </w:r>
      <w:r w:rsidRPr="00411F63">
        <w:rPr>
          <w:b/>
          <w:szCs w:val="24"/>
        </w:rPr>
        <w:tab/>
        <w:t xml:space="preserve"> </w:t>
      </w:r>
      <w:r w:rsidRPr="00411F63">
        <w:rPr>
          <w:b/>
          <w:szCs w:val="24"/>
          <w:u w:val="single" w:color="000000"/>
        </w:rPr>
        <w:t>A dolgozó feladatai tűz és katasztrófa esetén</w:t>
      </w:r>
      <w:r w:rsidRPr="00411F63">
        <w:rPr>
          <w:szCs w:val="24"/>
        </w:rPr>
        <w:t xml:space="preserve">  </w:t>
      </w:r>
    </w:p>
    <w:p w:rsidR="00C3696D" w:rsidRPr="00411F63" w:rsidRDefault="00A75CBF" w:rsidP="00BB6743">
      <w:pPr>
        <w:pStyle w:val="Listaszerbekezds"/>
        <w:numPr>
          <w:ilvl w:val="0"/>
          <w:numId w:val="19"/>
        </w:numPr>
        <w:spacing w:after="120" w:line="240" w:lineRule="auto"/>
        <w:ind w:left="703" w:hanging="357"/>
        <w:jc w:val="both"/>
        <w:rPr>
          <w:szCs w:val="24"/>
        </w:rPr>
      </w:pPr>
      <w:r>
        <w:rPr>
          <w:szCs w:val="24"/>
        </w:rPr>
        <w:t>F</w:t>
      </w:r>
      <w:r w:rsidR="00F9617E" w:rsidRPr="00411F63">
        <w:rPr>
          <w:szCs w:val="24"/>
        </w:rPr>
        <w:t>egyelmezetten, pán</w:t>
      </w:r>
      <w:r>
        <w:rPr>
          <w:szCs w:val="24"/>
        </w:rPr>
        <w:t>ikmentesen távozni az épületből</w:t>
      </w:r>
      <w:r w:rsidR="00F9617E" w:rsidRPr="00411F63">
        <w:rPr>
          <w:szCs w:val="24"/>
        </w:rPr>
        <w:t xml:space="preserve"> a legközelebbi kijáraton (vészkijáraton) keresztül. </w:t>
      </w:r>
    </w:p>
    <w:p w:rsidR="00C3696D" w:rsidRPr="00411F63" w:rsidRDefault="00F9617E" w:rsidP="00BB6743">
      <w:pPr>
        <w:pStyle w:val="Listaszerbekezds"/>
        <w:numPr>
          <w:ilvl w:val="0"/>
          <w:numId w:val="19"/>
        </w:numPr>
        <w:spacing w:after="120" w:line="240" w:lineRule="auto"/>
        <w:ind w:left="703" w:hanging="357"/>
        <w:jc w:val="both"/>
        <w:rPr>
          <w:szCs w:val="24"/>
        </w:rPr>
      </w:pPr>
      <w:r w:rsidRPr="00411F63">
        <w:rPr>
          <w:szCs w:val="24"/>
        </w:rPr>
        <w:t xml:space="preserve">A rászorulóknak segítséget nyújtani. </w:t>
      </w:r>
    </w:p>
    <w:p w:rsidR="00C3696D" w:rsidRPr="00411F63" w:rsidRDefault="00F9617E" w:rsidP="00BB6743">
      <w:pPr>
        <w:pStyle w:val="Listaszerbekezds"/>
        <w:numPr>
          <w:ilvl w:val="0"/>
          <w:numId w:val="19"/>
        </w:numPr>
        <w:spacing w:after="120" w:line="240" w:lineRule="auto"/>
        <w:ind w:left="703" w:hanging="357"/>
        <w:jc w:val="both"/>
        <w:rPr>
          <w:szCs w:val="24"/>
        </w:rPr>
      </w:pPr>
      <w:r w:rsidRPr="00411F63">
        <w:rPr>
          <w:szCs w:val="24"/>
        </w:rPr>
        <w:t>Az oltásban és mentésben (személyek és anyagi javak) szakszerű segítséget nyújtani az élet</w:t>
      </w:r>
      <w:r w:rsidR="00A75CBF">
        <w:rPr>
          <w:szCs w:val="24"/>
        </w:rPr>
        <w:t>-</w:t>
      </w:r>
      <w:r w:rsidRPr="00411F63">
        <w:rPr>
          <w:szCs w:val="24"/>
        </w:rPr>
        <w:t xml:space="preserve"> és vagyonvédelem érdekében.  </w:t>
      </w:r>
    </w:p>
    <w:p w:rsidR="00133306" w:rsidRPr="00411F63" w:rsidRDefault="00F9617E" w:rsidP="00BB6743">
      <w:pPr>
        <w:pStyle w:val="Listaszerbekezds"/>
        <w:numPr>
          <w:ilvl w:val="0"/>
          <w:numId w:val="19"/>
        </w:numPr>
        <w:spacing w:after="120" w:line="240" w:lineRule="auto"/>
        <w:ind w:left="703" w:hanging="357"/>
        <w:jc w:val="both"/>
        <w:rPr>
          <w:szCs w:val="24"/>
        </w:rPr>
      </w:pPr>
      <w:r w:rsidRPr="00411F63">
        <w:rPr>
          <w:szCs w:val="24"/>
        </w:rPr>
        <w:t xml:space="preserve">Tűzjelzéssel </w:t>
      </w:r>
      <w:proofErr w:type="spellStart"/>
      <w:r w:rsidRPr="00411F63">
        <w:rPr>
          <w:szCs w:val="24"/>
        </w:rPr>
        <w:t>egyidőben</w:t>
      </w:r>
      <w:proofErr w:type="spellEnd"/>
      <w:r w:rsidRPr="00411F63">
        <w:rPr>
          <w:szCs w:val="24"/>
        </w:rPr>
        <w:t xml:space="preserve"> a rendelkezésre álló felszereléssel és az előírások szerinti oltóanyaggal meg kell kísérelni a tűz oltását. </w:t>
      </w:r>
    </w:p>
    <w:p w:rsidR="00C3696D" w:rsidRPr="00411F63" w:rsidRDefault="00F9617E" w:rsidP="00BB6743">
      <w:pPr>
        <w:pStyle w:val="Listaszerbekezds"/>
        <w:numPr>
          <w:ilvl w:val="0"/>
          <w:numId w:val="19"/>
        </w:numPr>
        <w:spacing w:after="120" w:line="240" w:lineRule="auto"/>
        <w:ind w:left="703" w:hanging="357"/>
        <w:jc w:val="both"/>
        <w:rPr>
          <w:szCs w:val="24"/>
        </w:rPr>
      </w:pPr>
      <w:r w:rsidRPr="00411F63">
        <w:rPr>
          <w:szCs w:val="24"/>
        </w:rPr>
        <w:t>A tűzoltóság megérkezéséig az ott tartózkodó személyek a p</w:t>
      </w:r>
      <w:r w:rsidR="00133306" w:rsidRPr="00411F63">
        <w:rPr>
          <w:szCs w:val="24"/>
        </w:rPr>
        <w:t>orral oltó tűzoltó készülékekkel</w:t>
      </w:r>
      <w:r w:rsidRPr="00411F63">
        <w:rPr>
          <w:szCs w:val="24"/>
        </w:rPr>
        <w:t xml:space="preserve"> kezdik meg a kezdeti tűz oltását. </w:t>
      </w:r>
    </w:p>
    <w:p w:rsidR="00C3696D" w:rsidRPr="00411F63" w:rsidRDefault="00F9617E" w:rsidP="00BB6743">
      <w:pPr>
        <w:pStyle w:val="Listaszerbekezds"/>
        <w:numPr>
          <w:ilvl w:val="0"/>
          <w:numId w:val="19"/>
        </w:numPr>
        <w:spacing w:after="120" w:line="240" w:lineRule="auto"/>
        <w:ind w:left="703" w:hanging="357"/>
        <w:jc w:val="both"/>
        <w:rPr>
          <w:szCs w:val="24"/>
        </w:rPr>
      </w:pPr>
      <w:r w:rsidRPr="00411F63">
        <w:rPr>
          <w:szCs w:val="24"/>
        </w:rPr>
        <w:t>Vízzel történő oltás</w:t>
      </w:r>
      <w:r w:rsidR="00A75CBF">
        <w:rPr>
          <w:szCs w:val="24"/>
        </w:rPr>
        <w:t>t</w:t>
      </w:r>
      <w:r w:rsidRPr="00411F63">
        <w:rPr>
          <w:szCs w:val="24"/>
        </w:rPr>
        <w:t xml:space="preserve"> </w:t>
      </w:r>
      <w:r w:rsidR="00A75CBF">
        <w:rPr>
          <w:szCs w:val="24"/>
        </w:rPr>
        <w:t xml:space="preserve">csak </w:t>
      </w:r>
      <w:proofErr w:type="spellStart"/>
      <w:r w:rsidR="00A75CBF">
        <w:rPr>
          <w:szCs w:val="24"/>
        </w:rPr>
        <w:t>áramtalanítás</w:t>
      </w:r>
      <w:proofErr w:type="spellEnd"/>
      <w:r w:rsidR="00A75CBF">
        <w:rPr>
          <w:szCs w:val="24"/>
        </w:rPr>
        <w:t xml:space="preserve"> után szabad megkezdeni</w:t>
      </w:r>
    </w:p>
    <w:p w:rsidR="00C3696D" w:rsidRPr="00A75CBF" w:rsidRDefault="00A75CBF" w:rsidP="00BB6743">
      <w:pPr>
        <w:pStyle w:val="Listaszerbekezds"/>
        <w:numPr>
          <w:ilvl w:val="0"/>
          <w:numId w:val="19"/>
        </w:numPr>
        <w:spacing w:after="120" w:line="240" w:lineRule="auto"/>
        <w:ind w:left="703" w:hanging="357"/>
        <w:jc w:val="both"/>
        <w:rPr>
          <w:szCs w:val="24"/>
        </w:rPr>
      </w:pPr>
      <w:r w:rsidRPr="00A75CBF">
        <w:rPr>
          <w:szCs w:val="24"/>
        </w:rPr>
        <w:t xml:space="preserve">A tűzeset helyét a vizsgálat befejezéséig változatlanul kell hagyni, de legalább </w:t>
      </w:r>
      <w:r>
        <w:rPr>
          <w:szCs w:val="24"/>
        </w:rPr>
        <w:t>a</w:t>
      </w:r>
      <w:r w:rsidR="00F9617E" w:rsidRPr="00A75CBF">
        <w:rPr>
          <w:szCs w:val="24"/>
        </w:rPr>
        <w:t xml:space="preserve"> lehetőségekhez képest gondoskodni kell arról, hogy a helyszín a vizsgálat befejezéséig változatlan maradjon.  </w:t>
      </w:r>
    </w:p>
    <w:p w:rsidR="00133306" w:rsidRPr="00411F63" w:rsidRDefault="00F9617E" w:rsidP="00BB6743">
      <w:pPr>
        <w:pStyle w:val="Listaszerbekezds"/>
        <w:numPr>
          <w:ilvl w:val="0"/>
          <w:numId w:val="19"/>
        </w:numPr>
        <w:spacing w:after="120" w:line="240" w:lineRule="auto"/>
        <w:ind w:left="703" w:right="208" w:hanging="357"/>
        <w:jc w:val="both"/>
        <w:rPr>
          <w:szCs w:val="24"/>
        </w:rPr>
      </w:pPr>
      <w:r w:rsidRPr="00411F63">
        <w:rPr>
          <w:szCs w:val="24"/>
        </w:rPr>
        <w:t xml:space="preserve">A tűzoltóság közreműködése nélkül eloltott, vagy az emberi beavatkozás nélkül megszűnt vagy eloltott tüzeket kötelesek az ott dolgozók a vezetőnek késedelem nélkül bejelenteni.  </w:t>
      </w:r>
    </w:p>
    <w:p w:rsidR="00133306" w:rsidRPr="00411F63" w:rsidRDefault="00F9617E" w:rsidP="00BB6743">
      <w:pPr>
        <w:pStyle w:val="Listaszerbekezds"/>
        <w:numPr>
          <w:ilvl w:val="0"/>
          <w:numId w:val="19"/>
        </w:numPr>
        <w:spacing w:after="120" w:line="240" w:lineRule="auto"/>
        <w:ind w:left="703" w:right="208" w:hanging="357"/>
        <w:jc w:val="both"/>
        <w:rPr>
          <w:szCs w:val="24"/>
        </w:rPr>
      </w:pPr>
      <w:r w:rsidRPr="00411F63">
        <w:rPr>
          <w:szCs w:val="24"/>
        </w:rPr>
        <w:t xml:space="preserve">A tűzoltóság megérkezésekor tájékoztatást kell adni az odaérkező tűzoltóknak. </w:t>
      </w:r>
    </w:p>
    <w:p w:rsidR="00C3696D" w:rsidRPr="00411F63" w:rsidRDefault="00F9617E" w:rsidP="00BB6743">
      <w:pPr>
        <w:pStyle w:val="Listaszerbekezds"/>
        <w:numPr>
          <w:ilvl w:val="0"/>
          <w:numId w:val="19"/>
        </w:numPr>
        <w:spacing w:after="120" w:line="240" w:lineRule="auto"/>
        <w:ind w:left="703" w:right="208" w:hanging="357"/>
        <w:jc w:val="both"/>
        <w:rPr>
          <w:szCs w:val="24"/>
        </w:rPr>
      </w:pPr>
      <w:r w:rsidRPr="00411F63">
        <w:rPr>
          <w:szCs w:val="24"/>
        </w:rPr>
        <w:t xml:space="preserve">Tájékoztatni kell őket a tűz által érintett területről, a várható veszélyhelyzetről, az addig tett intézkedésekről. </w:t>
      </w:r>
    </w:p>
    <w:p w:rsidR="00C3696D" w:rsidRDefault="00F9617E" w:rsidP="00BB6743">
      <w:pPr>
        <w:pStyle w:val="Listaszerbekezds"/>
        <w:numPr>
          <w:ilvl w:val="0"/>
          <w:numId w:val="19"/>
        </w:numPr>
        <w:spacing w:after="120" w:line="240" w:lineRule="auto"/>
        <w:ind w:left="703" w:hanging="357"/>
        <w:jc w:val="both"/>
        <w:rPr>
          <w:szCs w:val="24"/>
        </w:rPr>
      </w:pPr>
      <w:r w:rsidRPr="00411F63">
        <w:rPr>
          <w:szCs w:val="24"/>
        </w:rPr>
        <w:t xml:space="preserve">Tűz esetén a helyszínre érkező tűzoltóság vezetőjének az utasításait mindenki köteles maradéktalanul betartani, illetve végrehajtani.  </w:t>
      </w:r>
    </w:p>
    <w:p w:rsidR="00CA6211" w:rsidRPr="00CA6211" w:rsidRDefault="00CA6211" w:rsidP="00BB6743">
      <w:pPr>
        <w:spacing w:after="120" w:line="240" w:lineRule="auto"/>
        <w:jc w:val="both"/>
        <w:rPr>
          <w:szCs w:val="24"/>
        </w:rPr>
      </w:pPr>
    </w:p>
    <w:p w:rsidR="00C3696D" w:rsidRPr="00411F63" w:rsidRDefault="00F9617E" w:rsidP="00411F63">
      <w:pPr>
        <w:tabs>
          <w:tab w:val="center" w:pos="2173"/>
        </w:tabs>
        <w:spacing w:after="120" w:line="240" w:lineRule="auto"/>
        <w:ind w:left="-15" w:firstLine="0"/>
        <w:rPr>
          <w:szCs w:val="24"/>
        </w:rPr>
      </w:pPr>
      <w:r w:rsidRPr="00411F63">
        <w:rPr>
          <w:b/>
          <w:szCs w:val="24"/>
        </w:rPr>
        <w:t xml:space="preserve">4. </w:t>
      </w:r>
      <w:r w:rsidRPr="00411F63">
        <w:rPr>
          <w:b/>
          <w:szCs w:val="24"/>
        </w:rPr>
        <w:tab/>
      </w:r>
      <w:r w:rsidRPr="00411F63">
        <w:rPr>
          <w:b/>
          <w:szCs w:val="24"/>
          <w:u w:val="single" w:color="000000"/>
        </w:rPr>
        <w:t>Menekülés főbb szempontjai</w:t>
      </w:r>
      <w:r w:rsidRPr="00411F63">
        <w:rPr>
          <w:b/>
          <w:szCs w:val="24"/>
        </w:rPr>
        <w:t xml:space="preserve"> </w:t>
      </w:r>
    </w:p>
    <w:p w:rsidR="00C3696D" w:rsidRPr="00411F63" w:rsidRDefault="00F9617E" w:rsidP="00411F63">
      <w:pPr>
        <w:spacing w:after="120" w:line="240" w:lineRule="auto"/>
        <w:ind w:left="-5"/>
        <w:jc w:val="both"/>
        <w:rPr>
          <w:szCs w:val="24"/>
        </w:rPr>
      </w:pPr>
      <w:r w:rsidRPr="00411F63">
        <w:rPr>
          <w:szCs w:val="24"/>
        </w:rPr>
        <w:t xml:space="preserve">Biztosítsunk elsőbbséget, segítsünk a gyermekek, gyermekes- és terhes anyák, az idősek, rokkantak és a mozgássérültek, mozgáskorlátozottak menekülésében. </w:t>
      </w:r>
    </w:p>
    <w:p w:rsidR="00C3696D" w:rsidRPr="00411F63" w:rsidRDefault="00F9617E" w:rsidP="00411F63">
      <w:pPr>
        <w:spacing w:after="120" w:line="240" w:lineRule="auto"/>
        <w:ind w:left="-5"/>
        <w:jc w:val="both"/>
        <w:rPr>
          <w:szCs w:val="24"/>
        </w:rPr>
      </w:pPr>
      <w:r w:rsidRPr="00411F63">
        <w:rPr>
          <w:szCs w:val="24"/>
        </w:rPr>
        <w:t xml:space="preserve">Füst ellen az orr illetve a száj elé szorított átnedvesített textillel (kendő, törölköző) a kimenekülés időtartamára hatásosan lehet védekezni. A forró füstgázok a levegőnél könnyebbek, így felülről rétegeződve telítik a helyiséget, így lehajolva, kúszva biztonságosabban elhagyhatjuk a füsttel telített helyiséget. Az épület, munkahely, lakás elhagyása esetén gondoskodni kell a gáz és az elektromos áram főkapcsolójának az elzárásáról. </w:t>
      </w:r>
    </w:p>
    <w:p w:rsidR="00C3696D" w:rsidRPr="00411F63" w:rsidRDefault="00F9617E" w:rsidP="00411F63">
      <w:pPr>
        <w:spacing w:after="120" w:line="240" w:lineRule="auto"/>
        <w:ind w:left="-5"/>
        <w:jc w:val="both"/>
        <w:rPr>
          <w:szCs w:val="24"/>
        </w:rPr>
      </w:pPr>
      <w:r w:rsidRPr="00411F63">
        <w:rPr>
          <w:szCs w:val="24"/>
        </w:rPr>
        <w:t xml:space="preserve">A tűz- és káresemény helyszínén tartózkodó személyek informálják a kiérkező tűzoltókat a veszélyhelyzet körülményeiről, az esetlegesen bent tartózkodók hollétéről, koráról (gyerek, </w:t>
      </w:r>
      <w:r w:rsidRPr="00411F63">
        <w:rPr>
          <w:szCs w:val="24"/>
        </w:rPr>
        <w:lastRenderedPageBreak/>
        <w:t xml:space="preserve">beteg, idős, mozgássérült), vízszerzési helyekről, közmű elzáró berendezések helyeiről. Tűz esetén biztosítani kell, hogy a tűz-, káreset helyszíne a tűzoltóság megérkezéséig változatlan maradjon. </w:t>
      </w:r>
    </w:p>
    <w:p w:rsidR="009F5A88" w:rsidRPr="00411F63" w:rsidRDefault="009F5A88" w:rsidP="00411F63">
      <w:pPr>
        <w:spacing w:after="120" w:line="240" w:lineRule="auto"/>
        <w:ind w:left="0" w:firstLine="0"/>
        <w:rPr>
          <w:szCs w:val="24"/>
        </w:rPr>
      </w:pPr>
    </w:p>
    <w:p w:rsidR="00C3696D" w:rsidRPr="005C0020" w:rsidRDefault="009F5A88" w:rsidP="00411F63">
      <w:pPr>
        <w:tabs>
          <w:tab w:val="center" w:pos="1148"/>
        </w:tabs>
        <w:spacing w:after="120" w:line="240" w:lineRule="auto"/>
        <w:ind w:left="-15" w:firstLine="0"/>
        <w:rPr>
          <w:b/>
          <w:szCs w:val="24"/>
        </w:rPr>
      </w:pPr>
      <w:r w:rsidRPr="005C0020">
        <w:rPr>
          <w:b/>
          <w:szCs w:val="24"/>
        </w:rPr>
        <w:t xml:space="preserve">5. </w:t>
      </w:r>
      <w:r w:rsidR="00F9617E" w:rsidRPr="005C0020">
        <w:rPr>
          <w:b/>
          <w:szCs w:val="24"/>
        </w:rPr>
        <w:tab/>
      </w:r>
      <w:r w:rsidR="00F9617E" w:rsidRPr="005C0020">
        <w:rPr>
          <w:b/>
          <w:szCs w:val="24"/>
          <w:u w:val="single" w:color="000000"/>
        </w:rPr>
        <w:t>Tűzoltás</w:t>
      </w:r>
      <w:r w:rsidR="00F9617E" w:rsidRPr="005C0020">
        <w:rPr>
          <w:b/>
          <w:szCs w:val="24"/>
        </w:rPr>
        <w:t xml:space="preserve"> </w:t>
      </w:r>
    </w:p>
    <w:p w:rsidR="00C3696D" w:rsidRPr="00411F63" w:rsidRDefault="00F9617E" w:rsidP="00F94672">
      <w:pPr>
        <w:spacing w:after="120" w:line="240" w:lineRule="auto"/>
        <w:ind w:left="-5"/>
        <w:jc w:val="both"/>
        <w:rPr>
          <w:szCs w:val="24"/>
        </w:rPr>
      </w:pPr>
      <w:r w:rsidRPr="00411F63">
        <w:rPr>
          <w:szCs w:val="24"/>
        </w:rPr>
        <w:t xml:space="preserve">A tűz oltásában, az emberi élet és az anyagi javak mentésében mindenki köteles a lehetőségeihez képest, külön felhívás nélkül, a testi épség veszélyeztetése nélkül részt venni! </w:t>
      </w:r>
    </w:p>
    <w:p w:rsidR="00C3696D" w:rsidRPr="00411F63" w:rsidRDefault="00F9617E" w:rsidP="00F94672">
      <w:pPr>
        <w:pStyle w:val="Listaszerbekezds"/>
        <w:numPr>
          <w:ilvl w:val="0"/>
          <w:numId w:val="20"/>
        </w:numPr>
        <w:spacing w:after="120" w:line="240" w:lineRule="auto"/>
        <w:jc w:val="both"/>
        <w:rPr>
          <w:szCs w:val="24"/>
        </w:rPr>
      </w:pPr>
      <w:r w:rsidRPr="00411F63">
        <w:rPr>
          <w:szCs w:val="24"/>
        </w:rPr>
        <w:t xml:space="preserve">A tűzoltás vezető (kiérkező tűzoltóság parancsnoka) utasításait mindenki köteles végrehajtani. </w:t>
      </w:r>
    </w:p>
    <w:p w:rsidR="00C3696D" w:rsidRPr="00411F63" w:rsidRDefault="00F9617E" w:rsidP="00F94672">
      <w:pPr>
        <w:pStyle w:val="Listaszerbekezds"/>
        <w:numPr>
          <w:ilvl w:val="0"/>
          <w:numId w:val="20"/>
        </w:numPr>
        <w:spacing w:after="120" w:line="240" w:lineRule="auto"/>
        <w:jc w:val="both"/>
        <w:rPr>
          <w:szCs w:val="24"/>
        </w:rPr>
      </w:pPr>
      <w:r w:rsidRPr="00411F63">
        <w:rPr>
          <w:szCs w:val="24"/>
        </w:rPr>
        <w:t>A tűz oltását</w:t>
      </w:r>
      <w:r w:rsidRPr="00411F63">
        <w:rPr>
          <w:b/>
          <w:szCs w:val="24"/>
        </w:rPr>
        <w:t xml:space="preserve"> </w:t>
      </w:r>
      <w:r w:rsidRPr="00411F63">
        <w:rPr>
          <w:szCs w:val="24"/>
        </w:rPr>
        <w:t xml:space="preserve">mindig az égő anyag tulajdonságainak és a tűz méretének figyelembevételével, a rendelkezésre álló, erre alkalmas eszközök, anyagok gyors számbavételével célszerű mielőbb, mindenre kiterjedően elkezdeni. </w:t>
      </w:r>
    </w:p>
    <w:p w:rsidR="00C3696D" w:rsidRPr="00411F63" w:rsidRDefault="00F9617E" w:rsidP="00F94672">
      <w:pPr>
        <w:pStyle w:val="Listaszerbekezds"/>
        <w:numPr>
          <w:ilvl w:val="0"/>
          <w:numId w:val="20"/>
        </w:numPr>
        <w:spacing w:after="120" w:line="240" w:lineRule="auto"/>
        <w:jc w:val="both"/>
        <w:rPr>
          <w:szCs w:val="24"/>
        </w:rPr>
      </w:pPr>
      <w:r w:rsidRPr="00411F63">
        <w:rPr>
          <w:szCs w:val="24"/>
        </w:rPr>
        <w:t xml:space="preserve">A tűz oltását a rendelkezésre álló felszereléssel, eszközzel meg kell kísérelni. </w:t>
      </w:r>
    </w:p>
    <w:p w:rsidR="00C3696D" w:rsidRPr="00411F63" w:rsidRDefault="00F94672" w:rsidP="00F94672">
      <w:pPr>
        <w:pStyle w:val="Listaszerbekezds"/>
        <w:numPr>
          <w:ilvl w:val="0"/>
          <w:numId w:val="20"/>
        </w:numPr>
        <w:spacing w:after="120" w:line="240" w:lineRule="auto"/>
        <w:jc w:val="both"/>
        <w:rPr>
          <w:szCs w:val="24"/>
        </w:rPr>
      </w:pPr>
      <w:r>
        <w:rPr>
          <w:szCs w:val="24"/>
        </w:rPr>
        <w:t xml:space="preserve">Villamos berendezésekben illetve az </w:t>
      </w:r>
      <w:r w:rsidR="00F9617E" w:rsidRPr="00411F63">
        <w:rPr>
          <w:szCs w:val="24"/>
        </w:rPr>
        <w:t xml:space="preserve">azok közelében keletkezett tűz esetén az oltás megkezdése előtt áramtalanítani kell. </w:t>
      </w:r>
    </w:p>
    <w:p w:rsidR="00C3696D" w:rsidRPr="00411F63" w:rsidRDefault="00F9617E" w:rsidP="00F94672">
      <w:pPr>
        <w:pStyle w:val="Listaszerbekezds"/>
        <w:numPr>
          <w:ilvl w:val="0"/>
          <w:numId w:val="20"/>
        </w:numPr>
        <w:spacing w:after="120" w:line="240" w:lineRule="auto"/>
        <w:jc w:val="both"/>
        <w:rPr>
          <w:szCs w:val="24"/>
        </w:rPr>
      </w:pPr>
      <w:r w:rsidRPr="00411F63">
        <w:rPr>
          <w:szCs w:val="24"/>
        </w:rPr>
        <w:t xml:space="preserve">Biztosítani kell, hogy a kivonuló tűzoltó egység a tűzeset helyszínéhez jusson, ennek érdekében lehetőség szerint 1 fő a kiérkező egységeket az épület előtt fogadja. </w:t>
      </w:r>
    </w:p>
    <w:p w:rsidR="00C3696D" w:rsidRPr="00411F63" w:rsidRDefault="00F9617E" w:rsidP="00F94672">
      <w:pPr>
        <w:spacing w:after="120" w:line="240" w:lineRule="auto"/>
        <w:ind w:left="0" w:firstLine="0"/>
        <w:jc w:val="both"/>
        <w:rPr>
          <w:szCs w:val="24"/>
        </w:rPr>
      </w:pPr>
      <w:r w:rsidRPr="00411F63">
        <w:rPr>
          <w:szCs w:val="24"/>
        </w:rPr>
        <w:t xml:space="preserve"> </w:t>
      </w:r>
    </w:p>
    <w:p w:rsidR="00C3696D" w:rsidRPr="00411F63" w:rsidRDefault="00F9617E" w:rsidP="00411F63">
      <w:pPr>
        <w:spacing w:after="120" w:line="240" w:lineRule="auto"/>
        <w:ind w:left="693" w:hanging="708"/>
        <w:rPr>
          <w:szCs w:val="24"/>
        </w:rPr>
      </w:pPr>
      <w:r w:rsidRPr="00411F63">
        <w:rPr>
          <w:b/>
          <w:szCs w:val="24"/>
        </w:rPr>
        <w:t xml:space="preserve">III. </w:t>
      </w:r>
      <w:r w:rsidRPr="00411F63">
        <w:rPr>
          <w:b/>
          <w:szCs w:val="24"/>
        </w:rPr>
        <w:tab/>
        <w:t>Ho</w:t>
      </w:r>
      <w:r w:rsidR="009F5A88" w:rsidRPr="00411F63">
        <w:rPr>
          <w:b/>
          <w:szCs w:val="24"/>
        </w:rPr>
        <w:t>rdozható tűzoltó készülékekről</w:t>
      </w:r>
      <w:r w:rsidRPr="00411F63">
        <w:rPr>
          <w:b/>
          <w:szCs w:val="24"/>
        </w:rPr>
        <w:t xml:space="preserve">, dohányzásról, biztonsági jelzésekről, feliratokról </w:t>
      </w:r>
    </w:p>
    <w:p w:rsidR="00C3696D" w:rsidRPr="00411F63" w:rsidRDefault="00F9617E" w:rsidP="00411F63">
      <w:pPr>
        <w:spacing w:after="120" w:line="240" w:lineRule="auto"/>
        <w:ind w:left="0" w:firstLine="0"/>
        <w:rPr>
          <w:szCs w:val="24"/>
        </w:rPr>
      </w:pPr>
      <w:r w:rsidRPr="00411F63">
        <w:rPr>
          <w:b/>
          <w:szCs w:val="24"/>
        </w:rPr>
        <w:t xml:space="preserve"> </w:t>
      </w:r>
    </w:p>
    <w:p w:rsidR="00F94672" w:rsidRPr="00F94672" w:rsidRDefault="00F9617E" w:rsidP="00411F63">
      <w:pPr>
        <w:spacing w:after="120" w:line="240" w:lineRule="auto"/>
        <w:ind w:left="-5"/>
        <w:jc w:val="both"/>
        <w:rPr>
          <w:b/>
          <w:szCs w:val="24"/>
        </w:rPr>
      </w:pPr>
      <w:r w:rsidRPr="00F94672">
        <w:rPr>
          <w:b/>
          <w:szCs w:val="24"/>
        </w:rPr>
        <w:t xml:space="preserve">1. </w:t>
      </w:r>
      <w:r w:rsidR="00F94672" w:rsidRPr="00F94672">
        <w:rPr>
          <w:b/>
          <w:szCs w:val="24"/>
        </w:rPr>
        <w:t>Tűzoltó készülék</w:t>
      </w:r>
    </w:p>
    <w:p w:rsidR="00C3696D" w:rsidRPr="00411F63" w:rsidRDefault="00F9617E" w:rsidP="00411F63">
      <w:pPr>
        <w:spacing w:after="120" w:line="240" w:lineRule="auto"/>
        <w:ind w:left="-5"/>
        <w:jc w:val="both"/>
        <w:rPr>
          <w:szCs w:val="24"/>
        </w:rPr>
      </w:pPr>
      <w:r w:rsidRPr="00411F63">
        <w:rPr>
          <w:szCs w:val="24"/>
        </w:rPr>
        <w:t>A tűzoltó készülé</w:t>
      </w:r>
      <w:r w:rsidR="00CA6211">
        <w:rPr>
          <w:szCs w:val="24"/>
        </w:rPr>
        <w:t xml:space="preserve">k egy olyan eszköz, amelyből annak </w:t>
      </w:r>
      <w:r w:rsidRPr="00411F63">
        <w:rPr>
          <w:szCs w:val="24"/>
        </w:rPr>
        <w:t xml:space="preserve">üzembe helyezéskor az </w:t>
      </w:r>
      <w:r w:rsidR="00CA6211">
        <w:rPr>
          <w:szCs w:val="24"/>
        </w:rPr>
        <w:t>oltóanyag</w:t>
      </w:r>
      <w:r w:rsidRPr="00411F63">
        <w:rPr>
          <w:szCs w:val="24"/>
        </w:rPr>
        <w:t xml:space="preserve"> a készülékben levő nyomás hatására </w:t>
      </w:r>
      <w:r w:rsidR="00F94672">
        <w:rPr>
          <w:szCs w:val="24"/>
        </w:rPr>
        <w:t>a tűz fészkére irányít</w:t>
      </w:r>
      <w:r w:rsidR="00CA6211">
        <w:rPr>
          <w:szCs w:val="24"/>
        </w:rPr>
        <w:t xml:space="preserve">ható módon kiáramlik. A kis- és </w:t>
      </w:r>
      <w:r w:rsidRPr="00411F63">
        <w:rPr>
          <w:szCs w:val="24"/>
        </w:rPr>
        <w:t xml:space="preserve">kezdődő tüzek oltásának legalkalmasabb eszközei. A tűzoltó készüléket, felszereléseket jól láthatóan, hozzáférhetően a bejárat illetve a veszélyeztetett hely közelében kell elhelyezni és állandóan üzemképes állapotban kell tartani. A hozzájuk vezető közlekedési utat eltorlaszolni tilos! </w:t>
      </w:r>
    </w:p>
    <w:p w:rsidR="00C3696D" w:rsidRPr="00411F63" w:rsidRDefault="009F5A88" w:rsidP="00411F63">
      <w:pPr>
        <w:spacing w:after="120" w:line="240" w:lineRule="auto"/>
        <w:ind w:left="-5"/>
        <w:jc w:val="both"/>
        <w:rPr>
          <w:szCs w:val="24"/>
        </w:rPr>
      </w:pPr>
      <w:r w:rsidRPr="00411F63">
        <w:rPr>
          <w:szCs w:val="24"/>
        </w:rPr>
        <w:t>A</w:t>
      </w:r>
      <w:r w:rsidR="00F9617E" w:rsidRPr="00411F63">
        <w:rPr>
          <w:szCs w:val="24"/>
        </w:rPr>
        <w:t xml:space="preserve"> tűzoltó készülékeiről nyilvántartást kell veze</w:t>
      </w:r>
      <w:r w:rsidRPr="00411F63">
        <w:rPr>
          <w:szCs w:val="24"/>
        </w:rPr>
        <w:t xml:space="preserve">tni, </w:t>
      </w:r>
      <w:r w:rsidR="00CA6211">
        <w:rPr>
          <w:szCs w:val="24"/>
        </w:rPr>
        <w:t>a</w:t>
      </w:r>
      <w:r w:rsidRPr="00411F63">
        <w:rPr>
          <w:szCs w:val="24"/>
        </w:rPr>
        <w:t>melynek meg kell felelni az 54/2014</w:t>
      </w:r>
      <w:r w:rsidR="00CA6211">
        <w:rPr>
          <w:szCs w:val="24"/>
        </w:rPr>
        <w:t xml:space="preserve">. (XII.5.) </w:t>
      </w:r>
      <w:r w:rsidR="00F9617E" w:rsidRPr="00411F63">
        <w:rPr>
          <w:szCs w:val="24"/>
        </w:rPr>
        <w:t>BM ren</w:t>
      </w:r>
      <w:r w:rsidRPr="00411F63">
        <w:rPr>
          <w:szCs w:val="24"/>
        </w:rPr>
        <w:t>deletében</w:t>
      </w:r>
      <w:r w:rsidR="00CA6211">
        <w:rPr>
          <w:szCs w:val="24"/>
        </w:rPr>
        <w:t xml:space="preserve"> (OTSZ)</w:t>
      </w:r>
      <w:r w:rsidR="00F9617E" w:rsidRPr="00411F63">
        <w:rPr>
          <w:szCs w:val="24"/>
        </w:rPr>
        <w:t xml:space="preserve"> foglaltaknak. </w:t>
      </w:r>
    </w:p>
    <w:p w:rsidR="00CA6211" w:rsidRPr="00CA6211" w:rsidRDefault="00F9617E" w:rsidP="00411F63">
      <w:pPr>
        <w:spacing w:after="120" w:line="240" w:lineRule="auto"/>
        <w:ind w:left="-5"/>
        <w:rPr>
          <w:i/>
          <w:szCs w:val="24"/>
          <w:u w:val="single"/>
        </w:rPr>
      </w:pPr>
      <w:r w:rsidRPr="00CA6211">
        <w:rPr>
          <w:i/>
          <w:szCs w:val="24"/>
          <w:u w:val="single"/>
        </w:rPr>
        <w:t xml:space="preserve">A tűzoltó készülékek típusai: </w:t>
      </w:r>
    </w:p>
    <w:p w:rsidR="00CA6211" w:rsidRPr="00CA6211" w:rsidRDefault="00F9617E" w:rsidP="00CA6211">
      <w:pPr>
        <w:pStyle w:val="Listaszerbekezds"/>
        <w:numPr>
          <w:ilvl w:val="0"/>
          <w:numId w:val="22"/>
        </w:numPr>
        <w:spacing w:after="120" w:line="240" w:lineRule="auto"/>
        <w:rPr>
          <w:szCs w:val="24"/>
        </w:rPr>
      </w:pPr>
      <w:r w:rsidRPr="00CA6211">
        <w:rPr>
          <w:szCs w:val="24"/>
        </w:rPr>
        <w:t xml:space="preserve">vízzel oltó, </w:t>
      </w:r>
    </w:p>
    <w:p w:rsidR="00CA6211" w:rsidRPr="00CA6211" w:rsidRDefault="00F9617E" w:rsidP="00CA6211">
      <w:pPr>
        <w:pStyle w:val="Listaszerbekezds"/>
        <w:numPr>
          <w:ilvl w:val="0"/>
          <w:numId w:val="22"/>
        </w:numPr>
        <w:spacing w:after="120" w:line="240" w:lineRule="auto"/>
        <w:rPr>
          <w:szCs w:val="24"/>
        </w:rPr>
      </w:pPr>
      <w:r w:rsidRPr="00CA6211">
        <w:rPr>
          <w:szCs w:val="24"/>
        </w:rPr>
        <w:t xml:space="preserve">habbal oltó, </w:t>
      </w:r>
    </w:p>
    <w:p w:rsidR="00CA6211" w:rsidRPr="00CA6211" w:rsidRDefault="00F9617E" w:rsidP="00CA6211">
      <w:pPr>
        <w:pStyle w:val="Listaszerbekezds"/>
        <w:numPr>
          <w:ilvl w:val="0"/>
          <w:numId w:val="22"/>
        </w:numPr>
        <w:spacing w:after="120" w:line="240" w:lineRule="auto"/>
        <w:rPr>
          <w:szCs w:val="24"/>
        </w:rPr>
      </w:pPr>
      <w:r w:rsidRPr="00CA6211">
        <w:rPr>
          <w:szCs w:val="24"/>
        </w:rPr>
        <w:t xml:space="preserve">porral oltó, </w:t>
      </w:r>
    </w:p>
    <w:p w:rsidR="00C3696D" w:rsidRPr="00CA6211" w:rsidRDefault="00F9617E" w:rsidP="00CA6211">
      <w:pPr>
        <w:pStyle w:val="Listaszerbekezds"/>
        <w:numPr>
          <w:ilvl w:val="0"/>
          <w:numId w:val="22"/>
        </w:numPr>
        <w:spacing w:after="120" w:line="240" w:lineRule="auto"/>
        <w:rPr>
          <w:szCs w:val="24"/>
        </w:rPr>
      </w:pPr>
      <w:r w:rsidRPr="00CA6211">
        <w:rPr>
          <w:szCs w:val="24"/>
        </w:rPr>
        <w:t xml:space="preserve">gázzal oltó: széndioxiddal oltó, </w:t>
      </w:r>
    </w:p>
    <w:p w:rsidR="00CA6211" w:rsidRDefault="00CA6211" w:rsidP="00411F63">
      <w:pPr>
        <w:pStyle w:val="Cmsor2"/>
        <w:spacing w:after="120" w:line="240" w:lineRule="auto"/>
        <w:ind w:left="-5"/>
        <w:rPr>
          <w:szCs w:val="24"/>
        </w:rPr>
      </w:pPr>
    </w:p>
    <w:p w:rsidR="00C3696D" w:rsidRPr="00411F63" w:rsidRDefault="009F5A88" w:rsidP="00CA6211">
      <w:pPr>
        <w:pStyle w:val="Cmsor2"/>
        <w:spacing w:after="120" w:line="240" w:lineRule="auto"/>
        <w:ind w:left="-5"/>
        <w:jc w:val="both"/>
        <w:rPr>
          <w:szCs w:val="24"/>
        </w:rPr>
      </w:pPr>
      <w:r w:rsidRPr="00411F63">
        <w:rPr>
          <w:szCs w:val="24"/>
        </w:rPr>
        <w:t>2</w:t>
      </w:r>
      <w:r w:rsidR="00F9617E" w:rsidRPr="00411F63">
        <w:rPr>
          <w:b w:val="0"/>
          <w:szCs w:val="24"/>
        </w:rPr>
        <w:t xml:space="preserve">. </w:t>
      </w:r>
      <w:r w:rsidR="00F9617E" w:rsidRPr="00411F63">
        <w:rPr>
          <w:szCs w:val="24"/>
        </w:rPr>
        <w:t xml:space="preserve">Dohányzás </w:t>
      </w:r>
    </w:p>
    <w:p w:rsidR="00C3696D" w:rsidRPr="00411F63" w:rsidRDefault="00F9617E" w:rsidP="00CA6211">
      <w:pPr>
        <w:spacing w:after="120" w:line="240" w:lineRule="auto"/>
        <w:ind w:left="-5"/>
        <w:jc w:val="both"/>
        <w:rPr>
          <w:szCs w:val="24"/>
        </w:rPr>
      </w:pPr>
      <w:r w:rsidRPr="00411F63">
        <w:rPr>
          <w:szCs w:val="24"/>
        </w:rPr>
        <w:t xml:space="preserve">A dohányzás tűzveszélyes tevékenység. Munkahelyeken dohányozni </w:t>
      </w:r>
      <w:r w:rsidR="00CA6211">
        <w:rPr>
          <w:szCs w:val="24"/>
        </w:rPr>
        <w:t xml:space="preserve">csakis </w:t>
      </w:r>
      <w:r w:rsidRPr="00411F63">
        <w:rPr>
          <w:szCs w:val="24"/>
        </w:rPr>
        <w:t xml:space="preserve">a dohányzás tűzmegelőzési szabályainak megtartásával, a jogszabályi előírásoknak megfelelően kizárólag az arra kijelölt helyen szabad.  </w:t>
      </w:r>
    </w:p>
    <w:p w:rsidR="00C3696D" w:rsidRDefault="00F9617E" w:rsidP="00CA6211">
      <w:pPr>
        <w:spacing w:after="120" w:line="240" w:lineRule="auto"/>
        <w:ind w:left="-5"/>
        <w:jc w:val="both"/>
        <w:rPr>
          <w:szCs w:val="24"/>
        </w:rPr>
      </w:pPr>
      <w:r w:rsidRPr="00411F63">
        <w:rPr>
          <w:szCs w:val="24"/>
        </w:rPr>
        <w:t>Égő cigarett</w:t>
      </w:r>
      <w:r w:rsidR="00CA6211">
        <w:rPr>
          <w:szCs w:val="24"/>
        </w:rPr>
        <w:t xml:space="preserve">át, parázsló gyufát eldobni ott, </w:t>
      </w:r>
      <w:r w:rsidRPr="00411F63">
        <w:rPr>
          <w:szCs w:val="24"/>
        </w:rPr>
        <w:t xml:space="preserve">ahol </w:t>
      </w:r>
      <w:proofErr w:type="gramStart"/>
      <w:r w:rsidRPr="00411F63">
        <w:rPr>
          <w:szCs w:val="24"/>
        </w:rPr>
        <w:t>az</w:t>
      </w:r>
      <w:proofErr w:type="gramEnd"/>
      <w:r w:rsidRPr="00411F63">
        <w:rPr>
          <w:szCs w:val="24"/>
        </w:rPr>
        <w:t xml:space="preserve"> tüzet okozhat</w:t>
      </w:r>
      <w:r w:rsidR="00CA6211">
        <w:rPr>
          <w:szCs w:val="24"/>
        </w:rPr>
        <w:t>, tilos!</w:t>
      </w:r>
    </w:p>
    <w:p w:rsidR="00CA6211" w:rsidRPr="00411F63" w:rsidRDefault="00CA6211" w:rsidP="00CA6211">
      <w:pPr>
        <w:spacing w:after="120" w:line="240" w:lineRule="auto"/>
        <w:ind w:left="-5"/>
        <w:jc w:val="both"/>
        <w:rPr>
          <w:szCs w:val="24"/>
        </w:rPr>
      </w:pPr>
    </w:p>
    <w:p w:rsidR="00C3696D" w:rsidRPr="00411F63" w:rsidRDefault="009F5A88" w:rsidP="00CA6211">
      <w:pPr>
        <w:pStyle w:val="Cmsor2"/>
        <w:spacing w:after="120" w:line="240" w:lineRule="auto"/>
        <w:ind w:left="-5"/>
        <w:jc w:val="both"/>
        <w:rPr>
          <w:szCs w:val="24"/>
        </w:rPr>
      </w:pPr>
      <w:r w:rsidRPr="00411F63">
        <w:rPr>
          <w:szCs w:val="24"/>
        </w:rPr>
        <w:lastRenderedPageBreak/>
        <w:t>3</w:t>
      </w:r>
      <w:r w:rsidR="00F9617E" w:rsidRPr="00411F63">
        <w:rPr>
          <w:b w:val="0"/>
          <w:szCs w:val="24"/>
        </w:rPr>
        <w:t xml:space="preserve">. </w:t>
      </w:r>
      <w:r w:rsidR="00F9617E" w:rsidRPr="00411F63">
        <w:rPr>
          <w:szCs w:val="24"/>
        </w:rPr>
        <w:t xml:space="preserve">Biztonsági jelzések, figyelmeztető feliratok </w:t>
      </w:r>
    </w:p>
    <w:p w:rsidR="00C3696D" w:rsidRPr="00411F63" w:rsidRDefault="00CA6211" w:rsidP="00CA6211">
      <w:pPr>
        <w:spacing w:after="120" w:line="240" w:lineRule="auto"/>
        <w:ind w:left="-5"/>
        <w:jc w:val="both"/>
        <w:rPr>
          <w:szCs w:val="24"/>
        </w:rPr>
      </w:pPr>
      <w:r>
        <w:rPr>
          <w:szCs w:val="24"/>
        </w:rPr>
        <w:t>A</w:t>
      </w:r>
      <w:r w:rsidRPr="00411F63">
        <w:rPr>
          <w:szCs w:val="24"/>
        </w:rPr>
        <w:t xml:space="preserve"> hatékony tűzmegelőzés és a dolgozók biztonsága érdekében</w:t>
      </w:r>
      <w:r>
        <w:rPr>
          <w:szCs w:val="24"/>
        </w:rPr>
        <w:t xml:space="preserve"> szükséges a</w:t>
      </w:r>
      <w:r w:rsidR="00F9617E" w:rsidRPr="00411F63">
        <w:rPr>
          <w:szCs w:val="24"/>
        </w:rPr>
        <w:t>z épületekben, munkahelyeken biztonsági-, figyelmeztető-, rendelkező-, tiltó- és tűzvédelmi jelzőtáblák</w:t>
      </w:r>
      <w:r>
        <w:rPr>
          <w:szCs w:val="24"/>
        </w:rPr>
        <w:t>at elhelyezni</w:t>
      </w:r>
      <w:r w:rsidR="00F9617E" w:rsidRPr="00411F63">
        <w:rPr>
          <w:szCs w:val="24"/>
        </w:rPr>
        <w:t>. Az épületben tartózkodó személyeknek a kihelyezett jelzések, feliratok figyelembe</w:t>
      </w:r>
      <w:r>
        <w:rPr>
          <w:szCs w:val="24"/>
        </w:rPr>
        <w:t xml:space="preserve">vételével kell a tűzmegelőzésre vonatkozó </w:t>
      </w:r>
      <w:r w:rsidR="00F9617E" w:rsidRPr="00411F63">
        <w:rPr>
          <w:szCs w:val="24"/>
        </w:rPr>
        <w:t xml:space="preserve">magatartási szabályokat betartani. </w:t>
      </w:r>
    </w:p>
    <w:p w:rsidR="00CA6211" w:rsidRDefault="00CA6211" w:rsidP="00CA6211">
      <w:pPr>
        <w:spacing w:after="120" w:line="240" w:lineRule="auto"/>
        <w:ind w:left="-5"/>
        <w:jc w:val="both"/>
        <w:rPr>
          <w:szCs w:val="24"/>
        </w:rPr>
      </w:pPr>
    </w:p>
    <w:p w:rsidR="009F5A88" w:rsidRDefault="003D27BD" w:rsidP="00411F63">
      <w:pPr>
        <w:spacing w:after="120" w:line="240" w:lineRule="auto"/>
        <w:ind w:left="-5"/>
        <w:rPr>
          <w:szCs w:val="24"/>
        </w:rPr>
      </w:pPr>
      <w:r>
        <w:rPr>
          <w:szCs w:val="24"/>
        </w:rPr>
        <w:t>Budapest, 2023.10.06</w:t>
      </w:r>
      <w:r w:rsidR="00375F0B" w:rsidRPr="00411F63">
        <w:rPr>
          <w:szCs w:val="24"/>
        </w:rPr>
        <w:t>.</w:t>
      </w:r>
    </w:p>
    <w:p w:rsidR="00CA6211" w:rsidRPr="00411F63" w:rsidRDefault="00CA6211" w:rsidP="00411F63">
      <w:pPr>
        <w:spacing w:after="120" w:line="240" w:lineRule="auto"/>
        <w:ind w:left="-5"/>
        <w:rPr>
          <w:szCs w:val="24"/>
        </w:rPr>
      </w:pPr>
    </w:p>
    <w:p w:rsidR="00BB6743" w:rsidRDefault="00BB6743" w:rsidP="00BB6743">
      <w:pPr>
        <w:spacing w:after="120" w:line="240" w:lineRule="auto"/>
        <w:ind w:left="-5"/>
        <w:rPr>
          <w:szCs w:val="24"/>
        </w:rPr>
      </w:pPr>
      <w:r>
        <w:rPr>
          <w:szCs w:val="24"/>
        </w:rPr>
        <w:t xml:space="preserve">Tűzvédelmi </w:t>
      </w:r>
      <w:r w:rsidR="007B5AF0">
        <w:rPr>
          <w:szCs w:val="24"/>
        </w:rPr>
        <w:t>oktatási t</w:t>
      </w:r>
      <w:r>
        <w:rPr>
          <w:szCs w:val="24"/>
        </w:rPr>
        <w:t>ematikát k</w:t>
      </w:r>
      <w:r w:rsidR="009F5A88" w:rsidRPr="00411F63">
        <w:rPr>
          <w:szCs w:val="24"/>
        </w:rPr>
        <w:t xml:space="preserve">észítette: </w:t>
      </w:r>
      <w:r w:rsidR="006D2CAD" w:rsidRPr="00411F63">
        <w:rPr>
          <w:szCs w:val="24"/>
        </w:rPr>
        <w:tab/>
      </w:r>
      <w:r w:rsidR="008A000B" w:rsidRPr="00411F63">
        <w:rPr>
          <w:szCs w:val="24"/>
        </w:rPr>
        <w:tab/>
      </w:r>
      <w:r w:rsidR="008A000B" w:rsidRPr="00411F63">
        <w:rPr>
          <w:szCs w:val="24"/>
        </w:rPr>
        <w:tab/>
      </w:r>
      <w:r w:rsidR="008A000B" w:rsidRPr="00411F63">
        <w:rPr>
          <w:szCs w:val="24"/>
        </w:rPr>
        <w:tab/>
      </w:r>
      <w:r w:rsidR="008A000B" w:rsidRPr="00411F63">
        <w:rPr>
          <w:szCs w:val="24"/>
        </w:rPr>
        <w:tab/>
      </w:r>
      <w:r w:rsidR="006D2CAD" w:rsidRPr="00411F63">
        <w:rPr>
          <w:szCs w:val="24"/>
        </w:rPr>
        <w:tab/>
      </w:r>
    </w:p>
    <w:p w:rsidR="008A000B" w:rsidRPr="00411F63" w:rsidRDefault="008A000B" w:rsidP="00411F63">
      <w:pPr>
        <w:spacing w:after="120" w:line="240" w:lineRule="auto"/>
        <w:ind w:left="-5"/>
        <w:jc w:val="right"/>
        <w:rPr>
          <w:szCs w:val="24"/>
        </w:rPr>
      </w:pPr>
    </w:p>
    <w:p w:rsidR="009F5A88" w:rsidRDefault="006D2CAD" w:rsidP="00411F63">
      <w:pPr>
        <w:spacing w:after="120" w:line="240" w:lineRule="auto"/>
        <w:ind w:left="-5"/>
        <w:jc w:val="right"/>
        <w:rPr>
          <w:szCs w:val="24"/>
        </w:rPr>
      </w:pPr>
      <w:r w:rsidRPr="00411F63">
        <w:rPr>
          <w:szCs w:val="24"/>
        </w:rPr>
        <w:tab/>
      </w:r>
      <w:r w:rsidRPr="00411F63">
        <w:rPr>
          <w:szCs w:val="24"/>
        </w:rPr>
        <w:tab/>
      </w:r>
      <w:r w:rsidR="008A000B" w:rsidRPr="00411F63">
        <w:rPr>
          <w:noProof/>
          <w:szCs w:val="24"/>
        </w:rPr>
        <w:drawing>
          <wp:inline distT="0" distB="0" distL="0" distR="0" wp14:anchorId="20887647" wp14:editId="2E2E4FB8">
            <wp:extent cx="1744980" cy="699093"/>
            <wp:effectExtent l="0" t="0" r="7620" b="6350"/>
            <wp:docPr id="3" name="Kép 3" descr="C:\Users\nagyz\OneDrive\Desktop\Károly Tamás\aláí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gyz\OneDrive\Desktop\Károly Tamás\aláí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265" cy="711627"/>
                    </a:xfrm>
                    <a:prstGeom prst="rect">
                      <a:avLst/>
                    </a:prstGeom>
                    <a:noFill/>
                    <a:ln>
                      <a:noFill/>
                    </a:ln>
                  </pic:spPr>
                </pic:pic>
              </a:graphicData>
            </a:graphic>
          </wp:inline>
        </w:drawing>
      </w:r>
    </w:p>
    <w:p w:rsidR="00BB6743" w:rsidRDefault="00BB6743" w:rsidP="00BB6743">
      <w:pPr>
        <w:spacing w:after="120" w:line="240" w:lineRule="auto"/>
        <w:ind w:left="-5"/>
        <w:rPr>
          <w:szCs w:val="24"/>
        </w:rPr>
      </w:pPr>
      <w:r>
        <w:rPr>
          <w:szCs w:val="24"/>
        </w:rPr>
        <w:t xml:space="preserve">Tűzvédelmi képzettséget igazoló irat száma: </w:t>
      </w:r>
    </w:p>
    <w:p w:rsidR="00BB6743" w:rsidRPr="00411F63" w:rsidRDefault="00BB6743" w:rsidP="00BB6743">
      <w:pPr>
        <w:spacing w:after="120" w:line="240" w:lineRule="auto"/>
        <w:ind w:left="-5"/>
        <w:rPr>
          <w:szCs w:val="24"/>
        </w:rPr>
      </w:pPr>
      <w:r w:rsidRPr="00411F63">
        <w:rPr>
          <w:szCs w:val="24"/>
        </w:rPr>
        <w:t xml:space="preserve">BMKOK 2011, okl. </w:t>
      </w:r>
      <w:r>
        <w:rPr>
          <w:szCs w:val="24"/>
        </w:rPr>
        <w:t>sz.: 428/III/11 Sorszám: 252241</w:t>
      </w:r>
    </w:p>
    <w:p w:rsidR="00BB6743" w:rsidRDefault="00BB6743" w:rsidP="00411F63">
      <w:pPr>
        <w:spacing w:after="120" w:line="240" w:lineRule="auto"/>
        <w:ind w:left="-5"/>
        <w:jc w:val="right"/>
        <w:rPr>
          <w:szCs w:val="24"/>
        </w:rPr>
      </w:pPr>
    </w:p>
    <w:p w:rsidR="00BB6743" w:rsidRPr="00411F63" w:rsidRDefault="00BB6743" w:rsidP="00411F63">
      <w:pPr>
        <w:spacing w:after="120" w:line="240" w:lineRule="auto"/>
        <w:ind w:left="-5"/>
        <w:jc w:val="right"/>
        <w:rPr>
          <w:szCs w:val="24"/>
        </w:rPr>
      </w:pPr>
    </w:p>
    <w:p w:rsidR="00BB6743" w:rsidRDefault="00BB6743">
      <w:pPr>
        <w:spacing w:after="160" w:line="259" w:lineRule="auto"/>
        <w:ind w:left="0" w:firstLine="0"/>
        <w:rPr>
          <w:szCs w:val="24"/>
        </w:rPr>
      </w:pPr>
      <w:r>
        <w:rPr>
          <w:szCs w:val="24"/>
        </w:rPr>
        <w:br w:type="page"/>
      </w:r>
    </w:p>
    <w:p w:rsidR="006D2CAD" w:rsidRDefault="006D2CAD" w:rsidP="00411F63">
      <w:pPr>
        <w:spacing w:after="120" w:line="240" w:lineRule="auto"/>
        <w:ind w:left="-5"/>
        <w:rPr>
          <w:i/>
          <w:szCs w:val="24"/>
        </w:rPr>
      </w:pPr>
      <w:r w:rsidRPr="00411F63">
        <w:rPr>
          <w:szCs w:val="24"/>
        </w:rPr>
        <w:lastRenderedPageBreak/>
        <w:t>A</w:t>
      </w:r>
      <w:r w:rsidRPr="00411F63">
        <w:rPr>
          <w:i/>
          <w:szCs w:val="24"/>
        </w:rPr>
        <w:t>z oktatás t</w:t>
      </w:r>
      <w:r w:rsidR="00A23157" w:rsidRPr="00411F63">
        <w:rPr>
          <w:i/>
          <w:szCs w:val="24"/>
        </w:rPr>
        <w:t xml:space="preserve">ényét a mellékelt </w:t>
      </w:r>
      <w:r w:rsidR="007422ED" w:rsidRPr="00411F63">
        <w:rPr>
          <w:i/>
          <w:szCs w:val="24"/>
        </w:rPr>
        <w:t>nyilatkozaton</w:t>
      </w:r>
      <w:r w:rsidRPr="00411F63">
        <w:rPr>
          <w:i/>
          <w:szCs w:val="24"/>
        </w:rPr>
        <w:t xml:space="preserve"> kötelező aláírni!</w:t>
      </w:r>
    </w:p>
    <w:p w:rsidR="00BB6743" w:rsidRPr="00411F63" w:rsidRDefault="00BB6743" w:rsidP="00411F63">
      <w:pPr>
        <w:spacing w:after="120" w:line="240" w:lineRule="auto"/>
        <w:ind w:left="-5"/>
        <w:rPr>
          <w:i/>
          <w:szCs w:val="24"/>
        </w:rPr>
      </w:pPr>
    </w:p>
    <w:p w:rsidR="00A23157" w:rsidRPr="00411F63" w:rsidRDefault="00A23157" w:rsidP="00411F63">
      <w:pPr>
        <w:tabs>
          <w:tab w:val="center" w:pos="4536"/>
          <w:tab w:val="right" w:pos="9072"/>
        </w:tabs>
        <w:spacing w:after="120" w:line="240" w:lineRule="auto"/>
        <w:ind w:left="0" w:firstLine="0"/>
        <w:jc w:val="center"/>
        <w:rPr>
          <w:rFonts w:eastAsia="Calibri"/>
          <w:b/>
          <w:color w:val="auto"/>
          <w:szCs w:val="24"/>
          <w:lang w:eastAsia="en-US"/>
        </w:rPr>
      </w:pPr>
      <w:r w:rsidRPr="00411F63">
        <w:rPr>
          <w:rFonts w:eastAsia="Calibri"/>
          <w:b/>
          <w:color w:val="auto"/>
          <w:szCs w:val="24"/>
          <w:lang w:eastAsia="en-US"/>
        </w:rPr>
        <w:t>Nyilatkozat</w:t>
      </w:r>
    </w:p>
    <w:p w:rsidR="00A23157" w:rsidRPr="00411F63" w:rsidRDefault="00A23157" w:rsidP="00411F63">
      <w:pPr>
        <w:tabs>
          <w:tab w:val="center" w:pos="4536"/>
          <w:tab w:val="right" w:pos="9072"/>
        </w:tabs>
        <w:spacing w:after="120" w:line="240" w:lineRule="auto"/>
        <w:ind w:left="0" w:firstLine="0"/>
        <w:jc w:val="center"/>
        <w:rPr>
          <w:rFonts w:eastAsia="Calibri"/>
          <w:b/>
          <w:color w:val="auto"/>
          <w:szCs w:val="24"/>
          <w:lang w:eastAsia="en-US"/>
        </w:rPr>
      </w:pPr>
      <w:r w:rsidRPr="00411F63">
        <w:rPr>
          <w:rFonts w:eastAsia="Calibri"/>
          <w:b/>
          <w:color w:val="auto"/>
          <w:szCs w:val="24"/>
          <w:lang w:eastAsia="en-US"/>
        </w:rPr>
        <w:t>A tűzvédelmi oktatás anyaga tartalmának megismeréséről</w:t>
      </w:r>
    </w:p>
    <w:p w:rsidR="00A23157" w:rsidRDefault="009522E6" w:rsidP="00411F63">
      <w:pPr>
        <w:tabs>
          <w:tab w:val="center" w:pos="4536"/>
          <w:tab w:val="right" w:pos="9072"/>
        </w:tabs>
        <w:spacing w:after="120" w:line="240" w:lineRule="auto"/>
        <w:ind w:left="0" w:firstLine="0"/>
        <w:jc w:val="both"/>
        <w:rPr>
          <w:rFonts w:eastAsia="Calibri"/>
          <w:color w:val="auto"/>
          <w:szCs w:val="24"/>
          <w:lang w:eastAsia="en-US"/>
        </w:rPr>
      </w:pPr>
      <w:r w:rsidRPr="009522E6">
        <w:rPr>
          <w:rFonts w:eastAsia="Calibri"/>
          <w:b/>
          <w:color w:val="auto"/>
          <w:szCs w:val="24"/>
          <w:lang w:eastAsia="en-US"/>
        </w:rPr>
        <w:t xml:space="preserve">GYŐRI SZAKKÉPZÉSI CENTRUM </w:t>
      </w:r>
      <w:r w:rsidR="00375F0B" w:rsidRPr="00465593">
        <w:rPr>
          <w:rFonts w:eastAsia="Calibri"/>
          <w:b/>
          <w:color w:val="auto"/>
          <w:szCs w:val="24"/>
          <w:lang w:eastAsia="en-US"/>
        </w:rPr>
        <w:t>(</w:t>
      </w:r>
      <w:r>
        <w:rPr>
          <w:rFonts w:eastAsia="Calibri"/>
          <w:b/>
          <w:i/>
          <w:color w:val="auto"/>
          <w:szCs w:val="24"/>
          <w:lang w:eastAsia="en-US"/>
        </w:rPr>
        <w:t>9024 Győr, Nádor tér 4,)</w:t>
      </w:r>
      <w:r w:rsidR="00B64200">
        <w:rPr>
          <w:rFonts w:eastAsia="Calibri"/>
          <w:b/>
          <w:i/>
          <w:color w:val="auto"/>
          <w:szCs w:val="24"/>
          <w:lang w:eastAsia="en-US"/>
        </w:rPr>
        <w:t xml:space="preserve"> </w:t>
      </w:r>
      <w:r w:rsidR="00465593" w:rsidRPr="00465593">
        <w:rPr>
          <w:rFonts w:eastAsia="Calibri"/>
          <w:color w:val="auto"/>
          <w:szCs w:val="24"/>
          <w:lang w:eastAsia="en-US"/>
        </w:rPr>
        <w:t xml:space="preserve">létesítményben dolgozó alkalmazott </w:t>
      </w:r>
      <w:r w:rsidR="00A23157" w:rsidRPr="00465593">
        <w:rPr>
          <w:rFonts w:eastAsia="Calibri"/>
          <w:color w:val="auto"/>
          <w:szCs w:val="24"/>
          <w:lang w:eastAsia="en-US"/>
        </w:rPr>
        <w:t>jelen nyilatkozat aláírásával elismerem és kijelentem és az aláírásommal igazolom, hogy a tűzvédelmi oktatás anyagának tartalmát megismertem, megértettem, azt tudomásul vettem. A munkába álláskor történő, munkakörömmel, munkavégzésemmel kapcsolatos tűzvédelmi ismereteket tartalmazó oktatási anyagot áttanulmányoztam. Az egészséget nem veszélyeztető és biztonságos munkavégzéshez szükséges tűzvédelmi ismereteket, szabályokat, utasításokat és információkat megkaptam, azokat megértettem, elsajátítottam és tudomásul vettem.</w:t>
      </w:r>
    </w:p>
    <w:p w:rsidR="005A7453" w:rsidRDefault="005A7453" w:rsidP="00411F63">
      <w:pPr>
        <w:tabs>
          <w:tab w:val="center" w:pos="4536"/>
          <w:tab w:val="right" w:pos="9072"/>
        </w:tabs>
        <w:spacing w:after="120" w:line="240" w:lineRule="auto"/>
        <w:ind w:left="0" w:firstLine="0"/>
        <w:jc w:val="both"/>
        <w:rPr>
          <w:rFonts w:eastAsia="Calibri"/>
          <w:color w:val="auto"/>
          <w:szCs w:val="24"/>
          <w:lang w:eastAsia="en-US"/>
        </w:rPr>
      </w:pPr>
    </w:p>
    <w:tbl>
      <w:tblPr>
        <w:tblStyle w:val="Rcsostblzat"/>
        <w:tblW w:w="5000" w:type="pct"/>
        <w:tblLook w:val="04A0" w:firstRow="1" w:lastRow="0" w:firstColumn="1" w:lastColumn="0" w:noHBand="0" w:noVBand="1"/>
      </w:tblPr>
      <w:tblGrid>
        <w:gridCol w:w="1187"/>
        <w:gridCol w:w="2003"/>
        <w:gridCol w:w="1676"/>
        <w:gridCol w:w="2540"/>
        <w:gridCol w:w="1886"/>
      </w:tblGrid>
      <w:tr w:rsidR="005A7453" w:rsidRPr="00681048" w:rsidTr="005A7453">
        <w:trPr>
          <w:trHeight w:val="276"/>
        </w:trPr>
        <w:tc>
          <w:tcPr>
            <w:tcW w:w="638" w:type="pct"/>
            <w:shd w:val="clear" w:color="auto" w:fill="E7E6E6" w:themeFill="background2"/>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Sorszám:</w:t>
            </w:r>
          </w:p>
        </w:tc>
        <w:tc>
          <w:tcPr>
            <w:tcW w:w="1078" w:type="pct"/>
            <w:shd w:val="clear" w:color="auto" w:fill="E7E6E6" w:themeFill="background2"/>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Név:</w:t>
            </w:r>
          </w:p>
        </w:tc>
        <w:tc>
          <w:tcPr>
            <w:tcW w:w="902" w:type="pct"/>
            <w:shd w:val="clear" w:color="auto" w:fill="E7E6E6" w:themeFill="background2"/>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Beosztás:</w:t>
            </w:r>
          </w:p>
        </w:tc>
        <w:tc>
          <w:tcPr>
            <w:tcW w:w="1367" w:type="pct"/>
            <w:shd w:val="clear" w:color="auto" w:fill="E7E6E6" w:themeFill="background2"/>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Aláírás:</w:t>
            </w:r>
          </w:p>
        </w:tc>
        <w:tc>
          <w:tcPr>
            <w:tcW w:w="1015" w:type="pct"/>
            <w:shd w:val="clear" w:color="auto" w:fill="E7E6E6" w:themeFill="background2"/>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Dátum:</w:t>
            </w:r>
          </w:p>
        </w:tc>
      </w:tr>
      <w:tr w:rsidR="005A7453" w:rsidRPr="00681048" w:rsidTr="005A7453">
        <w:trPr>
          <w:trHeight w:val="460"/>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Ásványi Gizella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rFonts w:eastAsia="Calibri"/>
                <w:szCs w:val="24"/>
                <w:lang w:eastAsia="hu-HU"/>
              </w:rPr>
            </w:pPr>
          </w:p>
        </w:tc>
      </w:tr>
      <w:tr w:rsidR="005A7453" w:rsidRPr="00681048" w:rsidTr="005A7453">
        <w:trPr>
          <w:trHeight w:val="422"/>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 xml:space="preserve">Bálintné </w:t>
            </w:r>
            <w:proofErr w:type="spellStart"/>
            <w:r>
              <w:rPr>
                <w:rFonts w:eastAsia="Calibri"/>
                <w:szCs w:val="24"/>
                <w:lang w:eastAsia="hu-HU"/>
              </w:rPr>
              <w:t>Gellérfi</w:t>
            </w:r>
            <w:proofErr w:type="spellEnd"/>
            <w:r>
              <w:rPr>
                <w:rFonts w:eastAsia="Calibri"/>
                <w:szCs w:val="24"/>
                <w:lang w:eastAsia="hu-HU"/>
              </w:rPr>
              <w:t xml:space="preserve"> Gabriella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02"/>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Czikóné</w:t>
            </w:r>
            <w:proofErr w:type="spellEnd"/>
            <w:r>
              <w:rPr>
                <w:rFonts w:eastAsia="Calibri"/>
                <w:szCs w:val="24"/>
                <w:lang w:eastAsia="hu-HU"/>
              </w:rPr>
              <w:t xml:space="preserve"> </w:t>
            </w:r>
            <w:proofErr w:type="spellStart"/>
            <w:proofErr w:type="gramStart"/>
            <w:r>
              <w:rPr>
                <w:rFonts w:eastAsia="Calibri"/>
                <w:szCs w:val="24"/>
                <w:lang w:eastAsia="hu-HU"/>
              </w:rPr>
              <w:t>Stoller</w:t>
            </w:r>
            <w:proofErr w:type="spellEnd"/>
            <w:r>
              <w:rPr>
                <w:rFonts w:eastAsia="Calibri"/>
                <w:szCs w:val="24"/>
                <w:lang w:eastAsia="hu-HU"/>
              </w:rPr>
              <w:t xml:space="preserve">      Éva</w:t>
            </w:r>
            <w:proofErr w:type="gramEnd"/>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21"/>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Csehné Szenderák Júlia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4"/>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5.</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Balogh – Mező Bettina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20"/>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6.</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Deák Valentina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2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7.</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Füttyné</w:t>
            </w:r>
            <w:proofErr w:type="spellEnd"/>
            <w:r>
              <w:rPr>
                <w:rFonts w:eastAsia="Calibri"/>
                <w:szCs w:val="24"/>
                <w:lang w:eastAsia="hu-HU"/>
              </w:rPr>
              <w:t xml:space="preserve"> </w:t>
            </w:r>
            <w:proofErr w:type="spellStart"/>
            <w:r>
              <w:rPr>
                <w:rFonts w:eastAsia="Calibri"/>
                <w:szCs w:val="24"/>
                <w:lang w:eastAsia="hu-HU"/>
              </w:rPr>
              <w:t>Stinner</w:t>
            </w:r>
            <w:proofErr w:type="spellEnd"/>
            <w:r>
              <w:rPr>
                <w:rFonts w:eastAsia="Calibri"/>
                <w:szCs w:val="24"/>
                <w:lang w:eastAsia="hu-HU"/>
              </w:rPr>
              <w:t xml:space="preserve"> Renáta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04"/>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8.</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Gazsó Dániel</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0"/>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9.</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Gergely Lilla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10.</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Gulyásné Godó Kornélia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11.</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Harangozóné Kovács Edina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12.</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Horváth Lászlóné</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13.</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Horváth – Medgyesi Kata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14.</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Jambrovicsné</w:t>
            </w:r>
            <w:proofErr w:type="spellEnd"/>
            <w:r>
              <w:rPr>
                <w:rFonts w:eastAsia="Calibri"/>
                <w:szCs w:val="24"/>
                <w:lang w:eastAsia="hu-HU"/>
              </w:rPr>
              <w:t xml:space="preserve"> </w:t>
            </w:r>
            <w:proofErr w:type="spellStart"/>
            <w:r>
              <w:rPr>
                <w:rFonts w:eastAsia="Calibri"/>
                <w:szCs w:val="24"/>
                <w:lang w:eastAsia="hu-HU"/>
              </w:rPr>
              <w:t>Gyuró</w:t>
            </w:r>
            <w:proofErr w:type="spellEnd"/>
            <w:r>
              <w:rPr>
                <w:rFonts w:eastAsia="Calibri"/>
                <w:szCs w:val="24"/>
                <w:lang w:eastAsia="hu-HU"/>
              </w:rPr>
              <w:t xml:space="preserve"> Klára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Default="005A7453" w:rsidP="00D52619">
            <w:pPr>
              <w:spacing w:after="120"/>
              <w:jc w:val="center"/>
              <w:rPr>
                <w:rFonts w:eastAsia="Calibri"/>
                <w:szCs w:val="24"/>
              </w:rPr>
            </w:pPr>
          </w:p>
        </w:tc>
        <w:tc>
          <w:tcPr>
            <w:tcW w:w="1078" w:type="pct"/>
          </w:tcPr>
          <w:p w:rsidR="005A7453" w:rsidRDefault="005A7453" w:rsidP="00D52619">
            <w:pPr>
              <w:spacing w:after="120"/>
              <w:jc w:val="both"/>
              <w:rPr>
                <w:rFonts w:eastAsia="Calibri"/>
                <w:szCs w:val="24"/>
              </w:rPr>
            </w:pPr>
          </w:p>
        </w:tc>
        <w:tc>
          <w:tcPr>
            <w:tcW w:w="902" w:type="pct"/>
          </w:tcPr>
          <w:p w:rsidR="005A7453" w:rsidRDefault="005A7453" w:rsidP="00D52619">
            <w:pPr>
              <w:spacing w:after="120"/>
              <w:jc w:val="both"/>
              <w:rPr>
                <w:rFonts w:eastAsia="Calibri"/>
                <w:szCs w:val="24"/>
              </w:rPr>
            </w:pPr>
          </w:p>
        </w:tc>
        <w:tc>
          <w:tcPr>
            <w:tcW w:w="1367" w:type="pct"/>
          </w:tcPr>
          <w:p w:rsidR="005A7453" w:rsidRPr="00681048" w:rsidRDefault="005A7453" w:rsidP="00D52619">
            <w:pPr>
              <w:spacing w:after="120"/>
              <w:jc w:val="both"/>
              <w:rPr>
                <w:rFonts w:eastAsia="Calibri"/>
                <w:szCs w:val="24"/>
              </w:rPr>
            </w:pPr>
          </w:p>
        </w:tc>
        <w:tc>
          <w:tcPr>
            <w:tcW w:w="1015" w:type="pct"/>
          </w:tcPr>
          <w:p w:rsidR="005A7453" w:rsidRPr="00681048" w:rsidRDefault="005A7453" w:rsidP="00D52619">
            <w:pPr>
              <w:spacing w:after="120"/>
              <w:jc w:val="center"/>
              <w:rPr>
                <w:szCs w:val="24"/>
              </w:rPr>
            </w:pPr>
          </w:p>
        </w:tc>
      </w:tr>
      <w:tr w:rsidR="005A7453" w:rsidRPr="00681048" w:rsidTr="005A7453">
        <w:trPr>
          <w:trHeight w:val="416"/>
        </w:trPr>
        <w:tc>
          <w:tcPr>
            <w:tcW w:w="638"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lastRenderedPageBreak/>
              <w:t>Sorszám:</w:t>
            </w:r>
          </w:p>
        </w:tc>
        <w:tc>
          <w:tcPr>
            <w:tcW w:w="1078"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Név:</w:t>
            </w:r>
          </w:p>
        </w:tc>
        <w:tc>
          <w:tcPr>
            <w:tcW w:w="902"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Beosztás:</w:t>
            </w:r>
          </w:p>
        </w:tc>
        <w:tc>
          <w:tcPr>
            <w:tcW w:w="1367"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Aláírás:</w:t>
            </w:r>
          </w:p>
        </w:tc>
        <w:tc>
          <w:tcPr>
            <w:tcW w:w="1015"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Dátum:</w:t>
            </w: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15.</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Illésné Kovács Ildikó</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16.</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Korczné</w:t>
            </w:r>
            <w:proofErr w:type="spellEnd"/>
            <w:r>
              <w:rPr>
                <w:rFonts w:eastAsia="Calibri"/>
                <w:szCs w:val="24"/>
                <w:lang w:eastAsia="hu-HU"/>
              </w:rPr>
              <w:t xml:space="preserve"> </w:t>
            </w:r>
            <w:proofErr w:type="spellStart"/>
            <w:r>
              <w:rPr>
                <w:rFonts w:eastAsia="Calibri"/>
                <w:szCs w:val="24"/>
                <w:lang w:eastAsia="hu-HU"/>
              </w:rPr>
              <w:t>Ifju</w:t>
            </w:r>
            <w:proofErr w:type="spellEnd"/>
            <w:r>
              <w:rPr>
                <w:rFonts w:eastAsia="Calibri"/>
                <w:szCs w:val="24"/>
                <w:lang w:eastAsia="hu-HU"/>
              </w:rPr>
              <w:t xml:space="preserve"> Eszter</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17.</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Köller</w:t>
            </w:r>
            <w:proofErr w:type="spellEnd"/>
            <w:r>
              <w:rPr>
                <w:rFonts w:eastAsia="Calibri"/>
                <w:szCs w:val="24"/>
                <w:lang w:eastAsia="hu-HU"/>
              </w:rPr>
              <w:t xml:space="preserve"> Anikó</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18.</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Kő Lajosné</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19.</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László Erik</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20.</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Lengyelné Sipőcz Márta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21.</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Liszkainé Major Renáta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22.</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Magyar Nikolett</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23.</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 xml:space="preserve">Marácziné </w:t>
            </w:r>
            <w:proofErr w:type="spellStart"/>
            <w:r>
              <w:rPr>
                <w:rFonts w:eastAsia="Calibri"/>
                <w:szCs w:val="24"/>
                <w:lang w:eastAsia="hu-HU"/>
              </w:rPr>
              <w:t>Zajceva</w:t>
            </w:r>
            <w:proofErr w:type="spellEnd"/>
            <w:r>
              <w:rPr>
                <w:rFonts w:eastAsia="Calibri"/>
                <w:szCs w:val="24"/>
                <w:lang w:eastAsia="hu-HU"/>
              </w:rPr>
              <w:t xml:space="preserve"> </w:t>
            </w:r>
            <w:proofErr w:type="spellStart"/>
            <w:r>
              <w:rPr>
                <w:rFonts w:eastAsia="Calibri"/>
                <w:szCs w:val="24"/>
                <w:lang w:eastAsia="hu-HU"/>
              </w:rPr>
              <w:t>Tatyana</w:t>
            </w:r>
            <w:proofErr w:type="spellEnd"/>
            <w:r>
              <w:rPr>
                <w:rFonts w:eastAsia="Calibri"/>
                <w:szCs w:val="24"/>
                <w:lang w:eastAsia="hu-HU"/>
              </w:rPr>
              <w:t xml:space="preserve"> </w:t>
            </w:r>
            <w:proofErr w:type="spellStart"/>
            <w:r>
              <w:rPr>
                <w:rFonts w:eastAsia="Calibri"/>
                <w:szCs w:val="24"/>
                <w:lang w:eastAsia="hu-HU"/>
              </w:rPr>
              <w:t>Vasziljevna</w:t>
            </w:r>
            <w:proofErr w:type="spellEnd"/>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24.</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Molnárné Nagy Zsuzsanna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25.</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Nagy Erika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26.</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 xml:space="preserve">Németh – </w:t>
            </w:r>
            <w:proofErr w:type="spellStart"/>
            <w:r>
              <w:rPr>
                <w:rFonts w:eastAsia="Calibri"/>
                <w:szCs w:val="24"/>
                <w:lang w:eastAsia="hu-HU"/>
              </w:rPr>
              <w:t>Wetzelsdorfer</w:t>
            </w:r>
            <w:proofErr w:type="spellEnd"/>
            <w:r>
              <w:rPr>
                <w:rFonts w:eastAsia="Calibri"/>
                <w:szCs w:val="24"/>
                <w:lang w:eastAsia="hu-HU"/>
              </w:rPr>
              <w:t xml:space="preserve"> Katalin</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27.</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Pápainé Németh Éva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28.</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Papp-Diós</w:t>
            </w:r>
            <w:proofErr w:type="spellEnd"/>
            <w:r>
              <w:rPr>
                <w:rFonts w:eastAsia="Calibri"/>
                <w:szCs w:val="24"/>
                <w:lang w:eastAsia="hu-HU"/>
              </w:rPr>
              <w:t xml:space="preserve"> Krisztina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29.</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Rémiás</w:t>
            </w:r>
            <w:proofErr w:type="spellEnd"/>
            <w:r>
              <w:rPr>
                <w:rFonts w:eastAsia="Calibri"/>
                <w:szCs w:val="24"/>
                <w:lang w:eastAsia="hu-HU"/>
              </w:rPr>
              <w:t xml:space="preserve"> Tibor</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30.</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Réti Gabriella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31.</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Rigó-Kulitsán</w:t>
            </w:r>
            <w:proofErr w:type="spellEnd"/>
            <w:r>
              <w:rPr>
                <w:rFonts w:eastAsia="Calibri"/>
                <w:szCs w:val="24"/>
                <w:lang w:eastAsia="hu-HU"/>
              </w:rPr>
              <w:t xml:space="preserve"> Kata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32.</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Rujder</w:t>
            </w:r>
            <w:proofErr w:type="spellEnd"/>
            <w:r>
              <w:rPr>
                <w:rFonts w:eastAsia="Calibri"/>
                <w:szCs w:val="24"/>
                <w:lang w:eastAsia="hu-HU"/>
              </w:rPr>
              <w:t xml:space="preserve"> Tünde</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33.</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Schredl</w:t>
            </w:r>
            <w:proofErr w:type="spellEnd"/>
            <w:r>
              <w:rPr>
                <w:rFonts w:eastAsia="Calibri"/>
                <w:szCs w:val="24"/>
                <w:lang w:eastAsia="hu-HU"/>
              </w:rPr>
              <w:t xml:space="preserve"> Klára Katalin</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34.</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Sipos László Árpád</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35.</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Somogyiné</w:t>
            </w:r>
            <w:proofErr w:type="spellEnd"/>
            <w:r>
              <w:rPr>
                <w:rFonts w:eastAsia="Calibri"/>
                <w:szCs w:val="24"/>
                <w:lang w:eastAsia="hu-HU"/>
              </w:rPr>
              <w:t xml:space="preserve"> Cser Hajnalka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CB0FB9">
        <w:trPr>
          <w:trHeight w:val="416"/>
        </w:trPr>
        <w:tc>
          <w:tcPr>
            <w:tcW w:w="638"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lastRenderedPageBreak/>
              <w:t>Sorszám:</w:t>
            </w:r>
          </w:p>
        </w:tc>
        <w:tc>
          <w:tcPr>
            <w:tcW w:w="1078"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Név:</w:t>
            </w:r>
          </w:p>
        </w:tc>
        <w:tc>
          <w:tcPr>
            <w:tcW w:w="902"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Beosztás:</w:t>
            </w:r>
          </w:p>
        </w:tc>
        <w:tc>
          <w:tcPr>
            <w:tcW w:w="1367"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Aláírás:</w:t>
            </w:r>
          </w:p>
        </w:tc>
        <w:tc>
          <w:tcPr>
            <w:tcW w:w="1015" w:type="pct"/>
            <w:shd w:val="clear" w:color="auto" w:fill="D9D9D9" w:themeFill="background1" w:themeFillShade="D9"/>
          </w:tcPr>
          <w:p w:rsidR="005A7453" w:rsidRPr="00681048" w:rsidRDefault="005A7453" w:rsidP="00D52619">
            <w:pPr>
              <w:spacing w:after="120"/>
              <w:jc w:val="center"/>
              <w:rPr>
                <w:rFonts w:eastAsia="Calibri"/>
                <w:b/>
                <w:szCs w:val="24"/>
                <w:lang w:eastAsia="hu-HU"/>
              </w:rPr>
            </w:pPr>
            <w:r w:rsidRPr="00681048">
              <w:rPr>
                <w:rFonts w:eastAsia="Calibri"/>
                <w:b/>
                <w:szCs w:val="24"/>
                <w:lang w:eastAsia="hu-HU"/>
              </w:rPr>
              <w:t>Dátum:</w:t>
            </w:r>
          </w:p>
        </w:tc>
      </w:tr>
      <w:tr w:rsidR="005A7453" w:rsidRPr="00681048" w:rsidTr="005A7453">
        <w:trPr>
          <w:trHeight w:val="416"/>
        </w:trPr>
        <w:tc>
          <w:tcPr>
            <w:tcW w:w="638" w:type="pct"/>
            <w:shd w:val="clear" w:color="auto" w:fill="FFFFFF" w:themeFill="background1"/>
          </w:tcPr>
          <w:p w:rsidR="005A7453" w:rsidRPr="005A7453" w:rsidRDefault="005A7453" w:rsidP="00D52619">
            <w:pPr>
              <w:spacing w:after="120"/>
              <w:jc w:val="center"/>
              <w:rPr>
                <w:rFonts w:eastAsia="Calibri"/>
                <w:szCs w:val="24"/>
                <w:lang w:eastAsia="hu-HU"/>
              </w:rPr>
            </w:pPr>
            <w:r w:rsidRPr="005A7453">
              <w:rPr>
                <w:rFonts w:eastAsia="Calibri"/>
                <w:szCs w:val="24"/>
                <w:lang w:eastAsia="hu-HU"/>
              </w:rPr>
              <w:t>36.</w:t>
            </w:r>
          </w:p>
        </w:tc>
        <w:tc>
          <w:tcPr>
            <w:tcW w:w="1078" w:type="pct"/>
            <w:shd w:val="clear" w:color="auto" w:fill="FFFFFF" w:themeFill="background1"/>
          </w:tcPr>
          <w:p w:rsidR="005A7453" w:rsidRPr="005A7453" w:rsidRDefault="005A7453" w:rsidP="00D52619">
            <w:pPr>
              <w:spacing w:after="120"/>
              <w:jc w:val="center"/>
              <w:rPr>
                <w:rFonts w:eastAsia="Calibri"/>
                <w:szCs w:val="24"/>
                <w:lang w:eastAsia="hu-HU"/>
              </w:rPr>
            </w:pPr>
            <w:r w:rsidRPr="005A7453">
              <w:rPr>
                <w:rFonts w:eastAsia="Calibri"/>
                <w:szCs w:val="24"/>
                <w:lang w:eastAsia="hu-HU"/>
              </w:rPr>
              <w:t>Szalai Erika</w:t>
            </w:r>
          </w:p>
        </w:tc>
        <w:tc>
          <w:tcPr>
            <w:tcW w:w="902" w:type="pct"/>
            <w:shd w:val="clear" w:color="auto" w:fill="FFFFFF" w:themeFill="background1"/>
          </w:tcPr>
          <w:p w:rsidR="005A7453" w:rsidRPr="005A7453" w:rsidRDefault="005A7453" w:rsidP="00D52619">
            <w:pPr>
              <w:spacing w:after="120"/>
              <w:jc w:val="center"/>
              <w:rPr>
                <w:rFonts w:eastAsia="Calibri"/>
                <w:szCs w:val="24"/>
                <w:lang w:eastAsia="hu-HU"/>
              </w:rPr>
            </w:pPr>
            <w:r w:rsidRPr="005A7453">
              <w:rPr>
                <w:rFonts w:eastAsia="Calibri"/>
                <w:szCs w:val="24"/>
                <w:lang w:eastAsia="hu-HU"/>
              </w:rPr>
              <w:t>pedagógus</w:t>
            </w:r>
          </w:p>
        </w:tc>
        <w:tc>
          <w:tcPr>
            <w:tcW w:w="1367" w:type="pct"/>
            <w:shd w:val="clear" w:color="auto" w:fill="FFFFFF" w:themeFill="background1"/>
          </w:tcPr>
          <w:p w:rsidR="005A7453" w:rsidRPr="005A7453" w:rsidRDefault="005A7453" w:rsidP="00D52619">
            <w:pPr>
              <w:spacing w:after="120"/>
              <w:jc w:val="center"/>
              <w:rPr>
                <w:rFonts w:eastAsia="Calibri"/>
                <w:szCs w:val="24"/>
                <w:lang w:eastAsia="hu-HU"/>
              </w:rPr>
            </w:pPr>
          </w:p>
        </w:tc>
        <w:tc>
          <w:tcPr>
            <w:tcW w:w="1015" w:type="pct"/>
            <w:shd w:val="clear" w:color="auto" w:fill="FFFFFF" w:themeFill="background1"/>
          </w:tcPr>
          <w:p w:rsidR="005A7453" w:rsidRPr="005A7453" w:rsidRDefault="005A7453" w:rsidP="00D52619">
            <w:pPr>
              <w:spacing w:after="120"/>
              <w:jc w:val="center"/>
              <w:rPr>
                <w:rFonts w:eastAsia="Calibri"/>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37.</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Szalainé Sándor Katalin</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bookmarkStart w:id="0" w:name="_GoBack"/>
        <w:bookmarkEnd w:id="0"/>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38.</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Szántó Ágnes</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39.</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Szentgyörgyi Zsóka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40.</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Szepesvári-Vancsa</w:t>
            </w:r>
            <w:proofErr w:type="spellEnd"/>
            <w:r>
              <w:rPr>
                <w:rFonts w:eastAsia="Calibri"/>
                <w:szCs w:val="24"/>
                <w:lang w:eastAsia="hu-HU"/>
              </w:rPr>
              <w:t xml:space="preserve"> Alexandra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41.</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Taracközi</w:t>
            </w:r>
            <w:proofErr w:type="spellEnd"/>
            <w:r>
              <w:rPr>
                <w:rFonts w:eastAsia="Calibri"/>
                <w:szCs w:val="24"/>
                <w:lang w:eastAsia="hu-HU"/>
              </w:rPr>
              <w:t xml:space="preserve"> Erika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42.</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Trantáné</w:t>
            </w:r>
            <w:proofErr w:type="spellEnd"/>
            <w:r>
              <w:rPr>
                <w:rFonts w:eastAsia="Calibri"/>
                <w:szCs w:val="24"/>
                <w:lang w:eastAsia="hu-HU"/>
              </w:rPr>
              <w:t xml:space="preserve"> Németh Gabriella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43.</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Tóth Richárd</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44.</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Zalavári Lászlóné</w:t>
            </w:r>
          </w:p>
        </w:tc>
        <w:tc>
          <w:tcPr>
            <w:tcW w:w="902"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gazd</w:t>
            </w:r>
            <w:proofErr w:type="gramStart"/>
            <w:r>
              <w:rPr>
                <w:rFonts w:eastAsia="Calibri"/>
                <w:szCs w:val="24"/>
                <w:lang w:eastAsia="hu-HU"/>
              </w:rPr>
              <w:t>.ügyintéző</w:t>
            </w:r>
            <w:proofErr w:type="spellEnd"/>
            <w:proofErr w:type="gramEnd"/>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45.</w:t>
            </w:r>
          </w:p>
        </w:tc>
        <w:tc>
          <w:tcPr>
            <w:tcW w:w="1078" w:type="pct"/>
          </w:tcPr>
          <w:p w:rsidR="005A7453" w:rsidRPr="00681048" w:rsidRDefault="005A7453" w:rsidP="00D52619">
            <w:pPr>
              <w:spacing w:after="120"/>
              <w:jc w:val="both"/>
              <w:rPr>
                <w:rFonts w:eastAsia="Calibri"/>
                <w:szCs w:val="24"/>
                <w:lang w:eastAsia="hu-HU"/>
              </w:rPr>
            </w:pPr>
            <w:proofErr w:type="spellStart"/>
            <w:r>
              <w:rPr>
                <w:rFonts w:eastAsia="Calibri"/>
                <w:szCs w:val="24"/>
                <w:lang w:eastAsia="hu-HU"/>
              </w:rPr>
              <w:t>Reppáné</w:t>
            </w:r>
            <w:proofErr w:type="spellEnd"/>
            <w:r>
              <w:rPr>
                <w:rFonts w:eastAsia="Calibri"/>
                <w:szCs w:val="24"/>
                <w:lang w:eastAsia="hu-HU"/>
              </w:rPr>
              <w:t xml:space="preserve"> Szabó Kinga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iskolatitkár</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46.</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Lengyel Csaba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karbantartó</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47.</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Faragó György</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pedagógus</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r>
              <w:rPr>
                <w:rFonts w:eastAsia="Calibri"/>
                <w:szCs w:val="24"/>
                <w:lang w:eastAsia="hu-HU"/>
              </w:rPr>
              <w:t>48.</w:t>
            </w:r>
          </w:p>
        </w:tc>
        <w:tc>
          <w:tcPr>
            <w:tcW w:w="1078" w:type="pct"/>
          </w:tcPr>
          <w:p w:rsidR="005A7453" w:rsidRPr="00681048" w:rsidRDefault="005A7453" w:rsidP="00D52619">
            <w:pPr>
              <w:spacing w:after="120"/>
              <w:jc w:val="both"/>
              <w:rPr>
                <w:rFonts w:eastAsia="Calibri"/>
                <w:szCs w:val="24"/>
                <w:lang w:eastAsia="hu-HU"/>
              </w:rPr>
            </w:pPr>
            <w:r>
              <w:rPr>
                <w:rFonts w:eastAsia="Calibri"/>
                <w:szCs w:val="24"/>
                <w:lang w:eastAsia="hu-HU"/>
              </w:rPr>
              <w:t>Szücsné Bartha Mária</w:t>
            </w:r>
          </w:p>
        </w:tc>
        <w:tc>
          <w:tcPr>
            <w:tcW w:w="902" w:type="pct"/>
          </w:tcPr>
          <w:p w:rsidR="005A7453" w:rsidRPr="00681048" w:rsidRDefault="005A7453" w:rsidP="00D52619">
            <w:pPr>
              <w:spacing w:after="120"/>
              <w:jc w:val="both"/>
              <w:rPr>
                <w:rFonts w:eastAsia="Calibri"/>
                <w:szCs w:val="24"/>
                <w:lang w:eastAsia="hu-HU"/>
              </w:rPr>
            </w:pPr>
            <w:r>
              <w:rPr>
                <w:rFonts w:eastAsia="Calibri"/>
                <w:szCs w:val="24"/>
                <w:lang w:eastAsia="hu-HU"/>
              </w:rPr>
              <w:t xml:space="preserve">munkaügyi </w:t>
            </w:r>
            <w:proofErr w:type="spellStart"/>
            <w:r>
              <w:rPr>
                <w:rFonts w:eastAsia="Calibri"/>
                <w:szCs w:val="24"/>
                <w:lang w:eastAsia="hu-HU"/>
              </w:rPr>
              <w:t>ügyint</w:t>
            </w:r>
            <w:proofErr w:type="spellEnd"/>
            <w:r>
              <w:rPr>
                <w:rFonts w:eastAsia="Calibri"/>
                <w:szCs w:val="24"/>
                <w:lang w:eastAsia="hu-HU"/>
              </w:rPr>
              <w:t>.</w:t>
            </w: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p>
        </w:tc>
        <w:tc>
          <w:tcPr>
            <w:tcW w:w="1078" w:type="pct"/>
          </w:tcPr>
          <w:p w:rsidR="005A7453" w:rsidRPr="00681048" w:rsidRDefault="005A7453" w:rsidP="00D52619">
            <w:pPr>
              <w:spacing w:after="120"/>
              <w:jc w:val="both"/>
              <w:rPr>
                <w:rFonts w:eastAsia="Calibri"/>
                <w:szCs w:val="24"/>
                <w:lang w:eastAsia="hu-HU"/>
              </w:rPr>
            </w:pPr>
          </w:p>
        </w:tc>
        <w:tc>
          <w:tcPr>
            <w:tcW w:w="902" w:type="pct"/>
          </w:tcPr>
          <w:p w:rsidR="005A7453" w:rsidRPr="00681048" w:rsidRDefault="005A7453" w:rsidP="00D52619">
            <w:pPr>
              <w:spacing w:after="120"/>
              <w:jc w:val="both"/>
              <w:rPr>
                <w:rFonts w:eastAsia="Calibri"/>
                <w:szCs w:val="24"/>
                <w:lang w:eastAsia="hu-HU"/>
              </w:rPr>
            </w:pP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p>
        </w:tc>
        <w:tc>
          <w:tcPr>
            <w:tcW w:w="1078" w:type="pct"/>
          </w:tcPr>
          <w:p w:rsidR="005A7453" w:rsidRPr="00681048" w:rsidRDefault="005A7453" w:rsidP="00D52619">
            <w:pPr>
              <w:spacing w:after="120"/>
              <w:jc w:val="both"/>
              <w:rPr>
                <w:rFonts w:eastAsia="Calibri"/>
                <w:szCs w:val="24"/>
                <w:lang w:eastAsia="hu-HU"/>
              </w:rPr>
            </w:pPr>
          </w:p>
        </w:tc>
        <w:tc>
          <w:tcPr>
            <w:tcW w:w="902" w:type="pct"/>
          </w:tcPr>
          <w:p w:rsidR="005A7453" w:rsidRPr="00681048" w:rsidRDefault="005A7453" w:rsidP="00D52619">
            <w:pPr>
              <w:spacing w:after="120"/>
              <w:jc w:val="both"/>
              <w:rPr>
                <w:rFonts w:eastAsia="Calibri"/>
                <w:szCs w:val="24"/>
                <w:lang w:eastAsia="hu-HU"/>
              </w:rPr>
            </w:pP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p>
        </w:tc>
        <w:tc>
          <w:tcPr>
            <w:tcW w:w="1078" w:type="pct"/>
          </w:tcPr>
          <w:p w:rsidR="005A7453" w:rsidRPr="00681048" w:rsidRDefault="005A7453" w:rsidP="00D52619">
            <w:pPr>
              <w:spacing w:after="120"/>
              <w:jc w:val="both"/>
              <w:rPr>
                <w:rFonts w:eastAsia="Calibri"/>
                <w:szCs w:val="24"/>
                <w:lang w:eastAsia="hu-HU"/>
              </w:rPr>
            </w:pPr>
          </w:p>
        </w:tc>
        <w:tc>
          <w:tcPr>
            <w:tcW w:w="902" w:type="pct"/>
          </w:tcPr>
          <w:p w:rsidR="005A7453" w:rsidRPr="00681048" w:rsidRDefault="005A7453" w:rsidP="00D52619">
            <w:pPr>
              <w:spacing w:after="120"/>
              <w:jc w:val="both"/>
              <w:rPr>
                <w:rFonts w:eastAsia="Calibri"/>
                <w:szCs w:val="24"/>
                <w:lang w:eastAsia="hu-HU"/>
              </w:rPr>
            </w:pP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r w:rsidR="005A7453" w:rsidRPr="00681048" w:rsidTr="005A7453">
        <w:trPr>
          <w:trHeight w:val="416"/>
        </w:trPr>
        <w:tc>
          <w:tcPr>
            <w:tcW w:w="638" w:type="pct"/>
          </w:tcPr>
          <w:p w:rsidR="005A7453" w:rsidRPr="00681048" w:rsidRDefault="005A7453" w:rsidP="00D52619">
            <w:pPr>
              <w:spacing w:after="120"/>
              <w:jc w:val="center"/>
              <w:rPr>
                <w:rFonts w:eastAsia="Calibri"/>
                <w:szCs w:val="24"/>
                <w:lang w:eastAsia="hu-HU"/>
              </w:rPr>
            </w:pPr>
          </w:p>
        </w:tc>
        <w:tc>
          <w:tcPr>
            <w:tcW w:w="1078" w:type="pct"/>
          </w:tcPr>
          <w:p w:rsidR="005A7453" w:rsidRPr="00681048" w:rsidRDefault="005A7453" w:rsidP="00D52619">
            <w:pPr>
              <w:spacing w:after="120"/>
              <w:jc w:val="both"/>
              <w:rPr>
                <w:rFonts w:eastAsia="Calibri"/>
                <w:szCs w:val="24"/>
                <w:lang w:eastAsia="hu-HU"/>
              </w:rPr>
            </w:pPr>
          </w:p>
        </w:tc>
        <w:tc>
          <w:tcPr>
            <w:tcW w:w="902" w:type="pct"/>
          </w:tcPr>
          <w:p w:rsidR="005A7453" w:rsidRPr="00681048" w:rsidRDefault="005A7453" w:rsidP="00D52619">
            <w:pPr>
              <w:spacing w:after="120"/>
              <w:jc w:val="both"/>
              <w:rPr>
                <w:rFonts w:eastAsia="Calibri"/>
                <w:szCs w:val="24"/>
                <w:lang w:eastAsia="hu-HU"/>
              </w:rPr>
            </w:pPr>
          </w:p>
        </w:tc>
        <w:tc>
          <w:tcPr>
            <w:tcW w:w="1367" w:type="pct"/>
          </w:tcPr>
          <w:p w:rsidR="005A7453" w:rsidRPr="00681048" w:rsidRDefault="005A7453" w:rsidP="00D52619">
            <w:pPr>
              <w:spacing w:after="120"/>
              <w:jc w:val="both"/>
              <w:rPr>
                <w:rFonts w:eastAsia="Calibri"/>
                <w:szCs w:val="24"/>
                <w:lang w:eastAsia="hu-HU"/>
              </w:rPr>
            </w:pPr>
          </w:p>
        </w:tc>
        <w:tc>
          <w:tcPr>
            <w:tcW w:w="1015" w:type="pct"/>
          </w:tcPr>
          <w:p w:rsidR="005A7453" w:rsidRPr="00681048" w:rsidRDefault="005A7453" w:rsidP="00D52619">
            <w:pPr>
              <w:spacing w:after="120"/>
              <w:jc w:val="center"/>
              <w:rPr>
                <w:szCs w:val="24"/>
                <w:lang w:eastAsia="hu-HU"/>
              </w:rPr>
            </w:pPr>
          </w:p>
        </w:tc>
      </w:tr>
    </w:tbl>
    <w:p w:rsidR="005A7453" w:rsidRPr="00465593" w:rsidRDefault="005A7453" w:rsidP="00411F63">
      <w:pPr>
        <w:tabs>
          <w:tab w:val="center" w:pos="4536"/>
          <w:tab w:val="right" w:pos="9072"/>
        </w:tabs>
        <w:spacing w:after="120" w:line="240" w:lineRule="auto"/>
        <w:ind w:left="0" w:firstLine="0"/>
        <w:jc w:val="both"/>
        <w:rPr>
          <w:rFonts w:eastAsia="Calibri"/>
          <w:color w:val="auto"/>
          <w:szCs w:val="24"/>
          <w:lang w:eastAsia="en-US"/>
        </w:rPr>
      </w:pPr>
    </w:p>
    <w:p w:rsidR="00A23157" w:rsidRPr="00411F63" w:rsidRDefault="00A23157" w:rsidP="00411F63">
      <w:pPr>
        <w:spacing w:after="120" w:line="240" w:lineRule="auto"/>
        <w:ind w:left="0" w:firstLine="0"/>
        <w:jc w:val="both"/>
        <w:rPr>
          <w:rFonts w:eastAsia="Calibri"/>
          <w:color w:val="auto"/>
          <w:szCs w:val="24"/>
          <w:lang w:eastAsia="en-US"/>
        </w:rPr>
      </w:pPr>
    </w:p>
    <w:p w:rsidR="00B7364F" w:rsidRPr="00411F63" w:rsidRDefault="003D27BD" w:rsidP="00B7364F">
      <w:pPr>
        <w:spacing w:after="120" w:line="240" w:lineRule="auto"/>
        <w:ind w:left="0" w:firstLine="0"/>
        <w:jc w:val="both"/>
        <w:rPr>
          <w:szCs w:val="24"/>
        </w:rPr>
      </w:pPr>
      <w:r>
        <w:rPr>
          <w:rFonts w:eastAsia="Calibri"/>
          <w:color w:val="auto"/>
          <w:szCs w:val="24"/>
          <w:lang w:eastAsia="en-US"/>
        </w:rPr>
        <w:t>Győr, 2023.10.06</w:t>
      </w:r>
      <w:r w:rsidR="00B7364F" w:rsidRPr="00411F63">
        <w:rPr>
          <w:rFonts w:eastAsia="Calibri"/>
          <w:color w:val="auto"/>
          <w:szCs w:val="24"/>
          <w:lang w:eastAsia="en-US"/>
        </w:rPr>
        <w:t>.</w:t>
      </w:r>
    </w:p>
    <w:p w:rsidR="00B7364F" w:rsidRDefault="00B7364F" w:rsidP="00411F63">
      <w:pPr>
        <w:spacing w:after="120" w:line="240" w:lineRule="auto"/>
        <w:ind w:left="0" w:firstLine="0"/>
        <w:jc w:val="both"/>
        <w:rPr>
          <w:rFonts w:eastAsia="Calibri"/>
          <w:color w:val="auto"/>
          <w:szCs w:val="24"/>
          <w:lang w:eastAsia="en-US"/>
        </w:rPr>
      </w:pPr>
    </w:p>
    <w:p w:rsidR="008A000B" w:rsidRPr="00411F63" w:rsidRDefault="00BB6743" w:rsidP="00411F63">
      <w:pPr>
        <w:spacing w:after="120" w:line="240" w:lineRule="auto"/>
        <w:ind w:left="0" w:firstLine="0"/>
        <w:jc w:val="both"/>
        <w:rPr>
          <w:rFonts w:eastAsia="Calibri"/>
          <w:color w:val="auto"/>
          <w:szCs w:val="24"/>
          <w:lang w:eastAsia="en-US"/>
        </w:rPr>
      </w:pPr>
      <w:r>
        <w:rPr>
          <w:rFonts w:eastAsia="Calibri"/>
          <w:color w:val="auto"/>
          <w:szCs w:val="24"/>
          <w:lang w:eastAsia="en-US"/>
        </w:rPr>
        <w:t xml:space="preserve">Tűzvédelmi oktatást végezte: </w:t>
      </w:r>
    </w:p>
    <w:p w:rsidR="008A000B" w:rsidRPr="00411F63" w:rsidRDefault="00375F0B" w:rsidP="00411F63">
      <w:pPr>
        <w:spacing w:after="120" w:line="240" w:lineRule="auto"/>
        <w:ind w:left="0" w:firstLine="0"/>
        <w:jc w:val="both"/>
        <w:rPr>
          <w:rFonts w:eastAsia="Calibri"/>
          <w:noProof/>
          <w:color w:val="auto"/>
          <w:szCs w:val="24"/>
        </w:rPr>
      </w:pPr>
      <w:r w:rsidRPr="00411F63">
        <w:rPr>
          <w:rFonts w:eastAsia="Calibri"/>
          <w:color w:val="auto"/>
          <w:szCs w:val="24"/>
          <w:lang w:eastAsia="en-US"/>
        </w:rPr>
        <w:tab/>
      </w:r>
      <w:r w:rsidR="008A000B" w:rsidRPr="00411F63">
        <w:rPr>
          <w:rFonts w:eastAsia="Calibri"/>
          <w:noProof/>
          <w:color w:val="auto"/>
          <w:szCs w:val="24"/>
        </w:rPr>
        <w:drawing>
          <wp:inline distT="0" distB="0" distL="0" distR="0">
            <wp:extent cx="2415540" cy="967740"/>
            <wp:effectExtent l="0" t="0" r="3810" b="3810"/>
            <wp:docPr id="4" name="Kép 4" descr="C:\Users\nagyz\OneDrive\Desktop\Károly Tamás\aláí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yz\OneDrive\Desktop\Károly Tamás\aláí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967740"/>
                    </a:xfrm>
                    <a:prstGeom prst="rect">
                      <a:avLst/>
                    </a:prstGeom>
                    <a:noFill/>
                    <a:ln>
                      <a:noFill/>
                    </a:ln>
                  </pic:spPr>
                </pic:pic>
              </a:graphicData>
            </a:graphic>
          </wp:inline>
        </w:drawing>
      </w:r>
    </w:p>
    <w:p w:rsidR="00BB6743" w:rsidRDefault="00BB6743" w:rsidP="00BB6743">
      <w:pPr>
        <w:spacing w:after="120" w:line="240" w:lineRule="auto"/>
        <w:ind w:left="-5"/>
        <w:rPr>
          <w:szCs w:val="24"/>
        </w:rPr>
      </w:pPr>
      <w:r>
        <w:rPr>
          <w:szCs w:val="24"/>
        </w:rPr>
        <w:t xml:space="preserve">Tűzvédelmi képzettséget igazoló irat száma: </w:t>
      </w:r>
    </w:p>
    <w:p w:rsidR="00B7364F" w:rsidRPr="00411F63" w:rsidRDefault="00BB6743" w:rsidP="00B7364F">
      <w:pPr>
        <w:spacing w:after="120" w:line="240" w:lineRule="auto"/>
        <w:ind w:left="-5"/>
        <w:rPr>
          <w:szCs w:val="24"/>
        </w:rPr>
      </w:pPr>
      <w:r w:rsidRPr="00411F63">
        <w:rPr>
          <w:szCs w:val="24"/>
        </w:rPr>
        <w:t xml:space="preserve">BMKOK 2011, okl. </w:t>
      </w:r>
      <w:r>
        <w:rPr>
          <w:szCs w:val="24"/>
        </w:rPr>
        <w:t>sz.: 428/III/11 Sorszám: 252241</w:t>
      </w:r>
    </w:p>
    <w:sectPr w:rsidR="00B7364F" w:rsidRPr="00411F63" w:rsidSect="005A7453">
      <w:headerReference w:type="default" r:id="rId9"/>
      <w:pgSz w:w="11906" w:h="16838"/>
      <w:pgMar w:top="567" w:right="1412"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989" w:rsidRDefault="00224989" w:rsidP="00C05AFE">
      <w:pPr>
        <w:spacing w:after="0" w:line="240" w:lineRule="auto"/>
      </w:pPr>
      <w:r>
        <w:separator/>
      </w:r>
    </w:p>
  </w:endnote>
  <w:endnote w:type="continuationSeparator" w:id="0">
    <w:p w:rsidR="00224989" w:rsidRDefault="00224989" w:rsidP="00C0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989" w:rsidRDefault="00224989" w:rsidP="00C05AFE">
      <w:pPr>
        <w:spacing w:after="0" w:line="240" w:lineRule="auto"/>
      </w:pPr>
      <w:r>
        <w:separator/>
      </w:r>
    </w:p>
  </w:footnote>
  <w:footnote w:type="continuationSeparator" w:id="0">
    <w:p w:rsidR="00224989" w:rsidRDefault="00224989" w:rsidP="00C05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FE" w:rsidRPr="00C05AFE" w:rsidRDefault="00C05AFE" w:rsidP="00C05AFE">
    <w:pPr>
      <w:tabs>
        <w:tab w:val="center" w:pos="4536"/>
        <w:tab w:val="right" w:pos="9072"/>
      </w:tabs>
      <w:spacing w:after="0" w:line="240" w:lineRule="auto"/>
      <w:ind w:left="0" w:firstLine="0"/>
      <w:rPr>
        <w:rFonts w:eastAsia="Calibri"/>
        <w:color w:val="auto"/>
        <w:szCs w:val="24"/>
        <w:lang w:eastAsia="en-US"/>
      </w:rPr>
    </w:pPr>
    <w:r w:rsidRPr="00C05AFE">
      <w:rPr>
        <w:rFonts w:eastAsia="Calibri"/>
        <w:color w:val="auto"/>
        <w:szCs w:val="24"/>
        <w:lang w:eastAsia="en-US"/>
      </w:rPr>
      <w:t>Intézményi bélyegző:_____________________________</w:t>
    </w:r>
  </w:p>
  <w:p w:rsidR="00C05AFE" w:rsidRDefault="00C05AF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CC8"/>
    <w:multiLevelType w:val="hybridMultilevel"/>
    <w:tmpl w:val="3744B40E"/>
    <w:lvl w:ilvl="0" w:tplc="E9CCD5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C2C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E66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042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8F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A93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005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C13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4E7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315377"/>
    <w:multiLevelType w:val="hybridMultilevel"/>
    <w:tmpl w:val="71DE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CC32EAD"/>
    <w:multiLevelType w:val="hybridMultilevel"/>
    <w:tmpl w:val="C26C37CC"/>
    <w:lvl w:ilvl="0" w:tplc="1988C76E">
      <w:start w:val="1"/>
      <w:numFmt w:val="bullet"/>
      <w:lvlText w:val=""/>
      <w:lvlJc w:val="left"/>
      <w:pPr>
        <w:ind w:left="9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28A566">
      <w:start w:val="1"/>
      <w:numFmt w:val="bullet"/>
      <w:lvlText w:val="o"/>
      <w:lvlJc w:val="left"/>
      <w:pPr>
        <w:ind w:left="1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C47AA0">
      <w:start w:val="1"/>
      <w:numFmt w:val="bullet"/>
      <w:lvlText w:val="▪"/>
      <w:lvlJc w:val="left"/>
      <w:pPr>
        <w:ind w:left="2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EE884E">
      <w:start w:val="1"/>
      <w:numFmt w:val="bullet"/>
      <w:lvlText w:val="•"/>
      <w:lvlJc w:val="left"/>
      <w:pPr>
        <w:ind w:left="3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148F30">
      <w:start w:val="1"/>
      <w:numFmt w:val="bullet"/>
      <w:lvlText w:val="o"/>
      <w:lvlJc w:val="left"/>
      <w:pPr>
        <w:ind w:left="3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C85C2C">
      <w:start w:val="1"/>
      <w:numFmt w:val="bullet"/>
      <w:lvlText w:val="▪"/>
      <w:lvlJc w:val="left"/>
      <w:pPr>
        <w:ind w:left="4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A8EBD8">
      <w:start w:val="1"/>
      <w:numFmt w:val="bullet"/>
      <w:lvlText w:val="•"/>
      <w:lvlJc w:val="left"/>
      <w:pPr>
        <w:ind w:left="5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00A40E">
      <w:start w:val="1"/>
      <w:numFmt w:val="bullet"/>
      <w:lvlText w:val="o"/>
      <w:lvlJc w:val="left"/>
      <w:pPr>
        <w:ind w:left="6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8473CC">
      <w:start w:val="1"/>
      <w:numFmt w:val="bullet"/>
      <w:lvlText w:val="▪"/>
      <w:lvlJc w:val="left"/>
      <w:pPr>
        <w:ind w:left="6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2090736C"/>
    <w:multiLevelType w:val="hybridMultilevel"/>
    <w:tmpl w:val="97842180"/>
    <w:lvl w:ilvl="0" w:tplc="7958B52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E22CA">
      <w:start w:val="1"/>
      <w:numFmt w:val="bullet"/>
      <w:lvlText w:val="o"/>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407D8">
      <w:start w:val="1"/>
      <w:numFmt w:val="bullet"/>
      <w:lvlText w:val="▪"/>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23D6A">
      <w:start w:val="1"/>
      <w:numFmt w:val="bullet"/>
      <w:lvlText w:val="•"/>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06148">
      <w:start w:val="1"/>
      <w:numFmt w:val="bullet"/>
      <w:lvlText w:val="o"/>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6A83C">
      <w:start w:val="1"/>
      <w:numFmt w:val="bullet"/>
      <w:lvlText w:val="▪"/>
      <w:lvlJc w:val="left"/>
      <w:pPr>
        <w:ind w:left="6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E2C14">
      <w:start w:val="1"/>
      <w:numFmt w:val="bullet"/>
      <w:lvlText w:val="•"/>
      <w:lvlJc w:val="left"/>
      <w:pPr>
        <w:ind w:left="7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176A">
      <w:start w:val="1"/>
      <w:numFmt w:val="bullet"/>
      <w:lvlText w:val="o"/>
      <w:lvlJc w:val="left"/>
      <w:pPr>
        <w:ind w:left="8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ED6AA">
      <w:start w:val="1"/>
      <w:numFmt w:val="bullet"/>
      <w:lvlText w:val="▪"/>
      <w:lvlJc w:val="left"/>
      <w:pPr>
        <w:ind w:left="8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55F7917"/>
    <w:multiLevelType w:val="hybridMultilevel"/>
    <w:tmpl w:val="8A0201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D683345"/>
    <w:multiLevelType w:val="hybridMultilevel"/>
    <w:tmpl w:val="58D8D118"/>
    <w:lvl w:ilvl="0" w:tplc="158E3B24">
      <w:start w:val="1"/>
      <w:numFmt w:val="lowerRoman"/>
      <w:lvlText w:val="%1.)"/>
      <w:lvlJc w:val="left"/>
      <w:pPr>
        <w:ind w:left="705" w:hanging="720"/>
      </w:pPr>
      <w:rPr>
        <w:rFonts w:hint="default"/>
        <w:u w:val="single"/>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6">
    <w:nsid w:val="34251CFB"/>
    <w:multiLevelType w:val="hybridMultilevel"/>
    <w:tmpl w:val="DDE2B04E"/>
    <w:lvl w:ilvl="0" w:tplc="0D9A1638">
      <w:start w:val="2"/>
      <w:numFmt w:val="low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77713B2"/>
    <w:multiLevelType w:val="hybridMultilevel"/>
    <w:tmpl w:val="6A9E98CA"/>
    <w:lvl w:ilvl="0" w:tplc="040E0001">
      <w:start w:val="1"/>
      <w:numFmt w:val="bullet"/>
      <w:lvlText w:val=""/>
      <w:lvlJc w:val="left"/>
      <w:pPr>
        <w:ind w:left="141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940FED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00964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EE0D5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D6365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90883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F6C15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A2465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61E5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3ACF5949"/>
    <w:multiLevelType w:val="hybridMultilevel"/>
    <w:tmpl w:val="17BCD59A"/>
    <w:lvl w:ilvl="0" w:tplc="AC4EC5F6">
      <w:start w:val="5"/>
      <w:numFmt w:val="low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E56793A"/>
    <w:multiLevelType w:val="hybridMultilevel"/>
    <w:tmpl w:val="E2E60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1834BB9"/>
    <w:multiLevelType w:val="hybridMultilevel"/>
    <w:tmpl w:val="78E46836"/>
    <w:lvl w:ilvl="0" w:tplc="040E0001">
      <w:start w:val="1"/>
      <w:numFmt w:val="bullet"/>
      <w:lvlText w:val=""/>
      <w:lvlJc w:val="left"/>
      <w:pPr>
        <w:ind w:left="141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940FED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00964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EE0D5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D6365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90883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F6C15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A2465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61E5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531F09C3"/>
    <w:multiLevelType w:val="hybridMultilevel"/>
    <w:tmpl w:val="1A245042"/>
    <w:lvl w:ilvl="0" w:tplc="4462EECE">
      <w:start w:val="2"/>
      <w:numFmt w:val="low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D472B97"/>
    <w:multiLevelType w:val="hybridMultilevel"/>
    <w:tmpl w:val="0A2EC6EC"/>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3">
    <w:nsid w:val="615D0A8C"/>
    <w:multiLevelType w:val="hybridMultilevel"/>
    <w:tmpl w:val="B83C5D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2DB41F5"/>
    <w:multiLevelType w:val="hybridMultilevel"/>
    <w:tmpl w:val="06568D3C"/>
    <w:lvl w:ilvl="0" w:tplc="A7A29DE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E027CC">
      <w:start w:val="1"/>
      <w:numFmt w:val="bullet"/>
      <w:lvlRestart w:val="0"/>
      <w:lvlText w:val=""/>
      <w:lvlJc w:val="left"/>
      <w:pPr>
        <w:ind w:left="3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282D10">
      <w:start w:val="1"/>
      <w:numFmt w:val="bullet"/>
      <w:lvlText w:val="▪"/>
      <w:lvlJc w:val="left"/>
      <w:pPr>
        <w:ind w:left="3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943B06">
      <w:start w:val="1"/>
      <w:numFmt w:val="bullet"/>
      <w:lvlText w:val="•"/>
      <w:lvlJc w:val="left"/>
      <w:pPr>
        <w:ind w:left="4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7A6E3E">
      <w:start w:val="1"/>
      <w:numFmt w:val="bullet"/>
      <w:lvlText w:val="o"/>
      <w:lvlJc w:val="left"/>
      <w:pPr>
        <w:ind w:left="5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6AFAAE">
      <w:start w:val="1"/>
      <w:numFmt w:val="bullet"/>
      <w:lvlText w:val="▪"/>
      <w:lvlJc w:val="left"/>
      <w:pPr>
        <w:ind w:left="6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A8F3AE">
      <w:start w:val="1"/>
      <w:numFmt w:val="bullet"/>
      <w:lvlText w:val="•"/>
      <w:lvlJc w:val="left"/>
      <w:pPr>
        <w:ind w:left="6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AECE10">
      <w:start w:val="1"/>
      <w:numFmt w:val="bullet"/>
      <w:lvlText w:val="o"/>
      <w:lvlJc w:val="left"/>
      <w:pPr>
        <w:ind w:left="7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3ACC58">
      <w:start w:val="1"/>
      <w:numFmt w:val="bullet"/>
      <w:lvlText w:val="▪"/>
      <w:lvlJc w:val="left"/>
      <w:pPr>
        <w:ind w:left="8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681C591F"/>
    <w:multiLevelType w:val="hybridMultilevel"/>
    <w:tmpl w:val="BF00F2AA"/>
    <w:lvl w:ilvl="0" w:tplc="FECC805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8CA4F73"/>
    <w:multiLevelType w:val="hybridMultilevel"/>
    <w:tmpl w:val="8ABA6CD6"/>
    <w:lvl w:ilvl="0" w:tplc="DBDABBDA">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40FED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00964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EE0D5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D6365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90883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F6C15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A2465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61E5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6DE35AD3"/>
    <w:multiLevelType w:val="hybridMultilevel"/>
    <w:tmpl w:val="4B685E40"/>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8">
    <w:nsid w:val="6E296A97"/>
    <w:multiLevelType w:val="hybridMultilevel"/>
    <w:tmpl w:val="D1BEEDF0"/>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9">
    <w:nsid w:val="764A5800"/>
    <w:multiLevelType w:val="hybridMultilevel"/>
    <w:tmpl w:val="89A4ED84"/>
    <w:lvl w:ilvl="0" w:tplc="A2E8464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EE14D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6AE34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DA82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5E0F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D0C2D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E065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F89B4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50140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7728111A"/>
    <w:multiLevelType w:val="hybridMultilevel"/>
    <w:tmpl w:val="836A2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98126EC"/>
    <w:multiLevelType w:val="hybridMultilevel"/>
    <w:tmpl w:val="DAAEC8C4"/>
    <w:lvl w:ilvl="0" w:tplc="7A6CF83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256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6EE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464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055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6C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CB9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0F6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006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
  </w:num>
  <w:num w:numId="3">
    <w:abstractNumId w:val="14"/>
  </w:num>
  <w:num w:numId="4">
    <w:abstractNumId w:val="0"/>
  </w:num>
  <w:num w:numId="5">
    <w:abstractNumId w:val="16"/>
  </w:num>
  <w:num w:numId="6">
    <w:abstractNumId w:val="3"/>
  </w:num>
  <w:num w:numId="7">
    <w:abstractNumId w:val="21"/>
  </w:num>
  <w:num w:numId="8">
    <w:abstractNumId w:val="6"/>
  </w:num>
  <w:num w:numId="9">
    <w:abstractNumId w:val="11"/>
  </w:num>
  <w:num w:numId="10">
    <w:abstractNumId w:val="8"/>
  </w:num>
  <w:num w:numId="11">
    <w:abstractNumId w:val="17"/>
  </w:num>
  <w:num w:numId="12">
    <w:abstractNumId w:val="20"/>
  </w:num>
  <w:num w:numId="13">
    <w:abstractNumId w:val="5"/>
  </w:num>
  <w:num w:numId="14">
    <w:abstractNumId w:val="15"/>
  </w:num>
  <w:num w:numId="15">
    <w:abstractNumId w:val="1"/>
  </w:num>
  <w:num w:numId="16">
    <w:abstractNumId w:val="4"/>
  </w:num>
  <w:num w:numId="17">
    <w:abstractNumId w:val="7"/>
  </w:num>
  <w:num w:numId="18">
    <w:abstractNumId w:val="10"/>
  </w:num>
  <w:num w:numId="19">
    <w:abstractNumId w:val="12"/>
  </w:num>
  <w:num w:numId="20">
    <w:abstractNumId w:val="13"/>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6D"/>
    <w:rsid w:val="000347F5"/>
    <w:rsid w:val="00051978"/>
    <w:rsid w:val="00133306"/>
    <w:rsid w:val="00167445"/>
    <w:rsid w:val="001A559C"/>
    <w:rsid w:val="00224989"/>
    <w:rsid w:val="00375F0B"/>
    <w:rsid w:val="003D27BD"/>
    <w:rsid w:val="00411F63"/>
    <w:rsid w:val="00465593"/>
    <w:rsid w:val="004D551B"/>
    <w:rsid w:val="00555EC4"/>
    <w:rsid w:val="005A7453"/>
    <w:rsid w:val="005C0020"/>
    <w:rsid w:val="005C303B"/>
    <w:rsid w:val="006823EA"/>
    <w:rsid w:val="006C0560"/>
    <w:rsid w:val="006D2CAD"/>
    <w:rsid w:val="007422ED"/>
    <w:rsid w:val="007B5AF0"/>
    <w:rsid w:val="008324D3"/>
    <w:rsid w:val="008A000B"/>
    <w:rsid w:val="008F0D29"/>
    <w:rsid w:val="009522E6"/>
    <w:rsid w:val="009A1A4A"/>
    <w:rsid w:val="009F5A88"/>
    <w:rsid w:val="00A23157"/>
    <w:rsid w:val="00A75CBF"/>
    <w:rsid w:val="00B64200"/>
    <w:rsid w:val="00B7364F"/>
    <w:rsid w:val="00BB6743"/>
    <w:rsid w:val="00C05AFE"/>
    <w:rsid w:val="00C06327"/>
    <w:rsid w:val="00C3696D"/>
    <w:rsid w:val="00CA6211"/>
    <w:rsid w:val="00CB0F73"/>
    <w:rsid w:val="00CB0FB9"/>
    <w:rsid w:val="00D70C13"/>
    <w:rsid w:val="00E44DE7"/>
    <w:rsid w:val="00EC2127"/>
    <w:rsid w:val="00F94672"/>
    <w:rsid w:val="00F9617E"/>
    <w:rsid w:val="00FB77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7445"/>
    <w:pPr>
      <w:spacing w:after="14" w:line="268" w:lineRule="auto"/>
      <w:ind w:left="10" w:hanging="10"/>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0"/>
      <w:ind w:left="2763"/>
      <w:outlineLvl w:val="0"/>
    </w:pPr>
    <w:rPr>
      <w:rFonts w:ascii="Times New Roman" w:eastAsia="Times New Roman" w:hAnsi="Times New Roman" w:cs="Times New Roman"/>
      <w:b/>
      <w:color w:val="000000"/>
      <w:sz w:val="28"/>
    </w:rPr>
  </w:style>
  <w:style w:type="paragraph" w:styleId="Cmsor2">
    <w:name w:val="heading 2"/>
    <w:next w:val="Norml"/>
    <w:link w:val="Cmsor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5C303B"/>
    <w:pPr>
      <w:ind w:left="720"/>
      <w:contextualSpacing/>
    </w:pPr>
  </w:style>
  <w:style w:type="table" w:styleId="Rcsostblzat">
    <w:name w:val="Table Grid"/>
    <w:basedOn w:val="Normltblzat"/>
    <w:uiPriority w:val="39"/>
    <w:rsid w:val="00A231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C05AFE"/>
    <w:pPr>
      <w:tabs>
        <w:tab w:val="center" w:pos="4536"/>
        <w:tab w:val="right" w:pos="9072"/>
      </w:tabs>
      <w:spacing w:after="0" w:line="240" w:lineRule="auto"/>
    </w:pPr>
  </w:style>
  <w:style w:type="character" w:customStyle="1" w:styleId="lfejChar">
    <w:name w:val="Élőfej Char"/>
    <w:basedOn w:val="Bekezdsalapbettpusa"/>
    <w:link w:val="lfej"/>
    <w:uiPriority w:val="99"/>
    <w:rsid w:val="00C05AFE"/>
    <w:rPr>
      <w:rFonts w:ascii="Times New Roman" w:eastAsia="Times New Roman" w:hAnsi="Times New Roman" w:cs="Times New Roman"/>
      <w:color w:val="000000"/>
      <w:sz w:val="24"/>
    </w:rPr>
  </w:style>
  <w:style w:type="paragraph" w:styleId="llb">
    <w:name w:val="footer"/>
    <w:basedOn w:val="Norml"/>
    <w:link w:val="llbChar"/>
    <w:uiPriority w:val="99"/>
    <w:unhideWhenUsed/>
    <w:rsid w:val="00C05AFE"/>
    <w:pPr>
      <w:tabs>
        <w:tab w:val="center" w:pos="4536"/>
        <w:tab w:val="right" w:pos="9072"/>
      </w:tabs>
      <w:spacing w:after="0" w:line="240" w:lineRule="auto"/>
    </w:pPr>
  </w:style>
  <w:style w:type="character" w:customStyle="1" w:styleId="llbChar">
    <w:name w:val="Élőláb Char"/>
    <w:basedOn w:val="Bekezdsalapbettpusa"/>
    <w:link w:val="llb"/>
    <w:uiPriority w:val="99"/>
    <w:rsid w:val="00C05AFE"/>
    <w:rPr>
      <w:rFonts w:ascii="Times New Roman" w:eastAsia="Times New Roman" w:hAnsi="Times New Roman" w:cs="Times New Roman"/>
      <w:color w:val="000000"/>
      <w:sz w:val="24"/>
    </w:rPr>
  </w:style>
  <w:style w:type="paragraph" w:styleId="Buborkszveg">
    <w:name w:val="Balloon Text"/>
    <w:basedOn w:val="Norml"/>
    <w:link w:val="BuborkszvegChar"/>
    <w:uiPriority w:val="99"/>
    <w:semiHidden/>
    <w:unhideWhenUsed/>
    <w:rsid w:val="005A74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A745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7445"/>
    <w:pPr>
      <w:spacing w:after="14" w:line="268" w:lineRule="auto"/>
      <w:ind w:left="10" w:hanging="10"/>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0"/>
      <w:ind w:left="2763"/>
      <w:outlineLvl w:val="0"/>
    </w:pPr>
    <w:rPr>
      <w:rFonts w:ascii="Times New Roman" w:eastAsia="Times New Roman" w:hAnsi="Times New Roman" w:cs="Times New Roman"/>
      <w:b/>
      <w:color w:val="000000"/>
      <w:sz w:val="28"/>
    </w:rPr>
  </w:style>
  <w:style w:type="paragraph" w:styleId="Cmsor2">
    <w:name w:val="heading 2"/>
    <w:next w:val="Norml"/>
    <w:link w:val="Cmsor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5C303B"/>
    <w:pPr>
      <w:ind w:left="720"/>
      <w:contextualSpacing/>
    </w:pPr>
  </w:style>
  <w:style w:type="table" w:styleId="Rcsostblzat">
    <w:name w:val="Table Grid"/>
    <w:basedOn w:val="Normltblzat"/>
    <w:uiPriority w:val="39"/>
    <w:rsid w:val="00A231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C05AFE"/>
    <w:pPr>
      <w:tabs>
        <w:tab w:val="center" w:pos="4536"/>
        <w:tab w:val="right" w:pos="9072"/>
      </w:tabs>
      <w:spacing w:after="0" w:line="240" w:lineRule="auto"/>
    </w:pPr>
  </w:style>
  <w:style w:type="character" w:customStyle="1" w:styleId="lfejChar">
    <w:name w:val="Élőfej Char"/>
    <w:basedOn w:val="Bekezdsalapbettpusa"/>
    <w:link w:val="lfej"/>
    <w:uiPriority w:val="99"/>
    <w:rsid w:val="00C05AFE"/>
    <w:rPr>
      <w:rFonts w:ascii="Times New Roman" w:eastAsia="Times New Roman" w:hAnsi="Times New Roman" w:cs="Times New Roman"/>
      <w:color w:val="000000"/>
      <w:sz w:val="24"/>
    </w:rPr>
  </w:style>
  <w:style w:type="paragraph" w:styleId="llb">
    <w:name w:val="footer"/>
    <w:basedOn w:val="Norml"/>
    <w:link w:val="llbChar"/>
    <w:uiPriority w:val="99"/>
    <w:unhideWhenUsed/>
    <w:rsid w:val="00C05AFE"/>
    <w:pPr>
      <w:tabs>
        <w:tab w:val="center" w:pos="4536"/>
        <w:tab w:val="right" w:pos="9072"/>
      </w:tabs>
      <w:spacing w:after="0" w:line="240" w:lineRule="auto"/>
    </w:pPr>
  </w:style>
  <w:style w:type="character" w:customStyle="1" w:styleId="llbChar">
    <w:name w:val="Élőláb Char"/>
    <w:basedOn w:val="Bekezdsalapbettpusa"/>
    <w:link w:val="llb"/>
    <w:uiPriority w:val="99"/>
    <w:rsid w:val="00C05AFE"/>
    <w:rPr>
      <w:rFonts w:ascii="Times New Roman" w:eastAsia="Times New Roman" w:hAnsi="Times New Roman" w:cs="Times New Roman"/>
      <w:color w:val="000000"/>
      <w:sz w:val="24"/>
    </w:rPr>
  </w:style>
  <w:style w:type="paragraph" w:styleId="Buborkszveg">
    <w:name w:val="Balloon Text"/>
    <w:basedOn w:val="Norml"/>
    <w:link w:val="BuborkszvegChar"/>
    <w:uiPriority w:val="99"/>
    <w:semiHidden/>
    <w:unhideWhenUsed/>
    <w:rsid w:val="005A74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A745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3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1552</Words>
  <Characters>10715</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Török Attila</dc:creator>
  <cp:lastModifiedBy>User</cp:lastModifiedBy>
  <cp:revision>5</cp:revision>
  <cp:lastPrinted>2023-10-13T06:08:00Z</cp:lastPrinted>
  <dcterms:created xsi:type="dcterms:W3CDTF">2023-10-06T10:04:00Z</dcterms:created>
  <dcterms:modified xsi:type="dcterms:W3CDTF">2023-10-13T06:11:00Z</dcterms:modified>
</cp:coreProperties>
</file>